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1A90" w14:textId="77777777" w:rsidR="00905550" w:rsidRPr="00905550" w:rsidRDefault="00905550" w:rsidP="00905550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color w:val="333333"/>
          <w:kern w:val="0"/>
          <w:sz w:val="32"/>
          <w:szCs w:val="32"/>
          <w:lang w:eastAsia="pl-PL"/>
          <w14:ligatures w14:val="none"/>
        </w:rPr>
      </w:pPr>
      <w:r w:rsidRPr="00905550">
        <w:rPr>
          <w:rFonts w:ascii="Calibri" w:eastAsia="Times New Roman" w:hAnsi="Calibri" w:cs="Calibri"/>
          <w:b/>
          <w:bCs/>
          <w:color w:val="333333"/>
          <w:kern w:val="0"/>
          <w:sz w:val="32"/>
          <w:szCs w:val="32"/>
          <w:lang w:eastAsia="pl-PL"/>
          <w14:ligatures w14:val="none"/>
        </w:rPr>
        <w:t>Harmonogram</w:t>
      </w:r>
    </w:p>
    <w:p w14:paraId="3737CA33" w14:textId="2A9A9228" w:rsidR="00905550" w:rsidRPr="00905550" w:rsidRDefault="00905550" w:rsidP="00905550">
      <w:pPr>
        <w:shd w:val="clear" w:color="auto" w:fill="FFFFFF"/>
        <w:spacing w:after="150" w:line="240" w:lineRule="auto"/>
        <w:ind w:left="720"/>
        <w:rPr>
          <w:rFonts w:ascii="Calibri" w:eastAsia="Times New Roman" w:hAnsi="Calibri" w:cs="Calibri"/>
          <w:color w:val="333333"/>
          <w:kern w:val="0"/>
          <w:sz w:val="28"/>
          <w:szCs w:val="28"/>
          <w:u w:val="single"/>
          <w:lang w:eastAsia="pl-PL"/>
          <w14:ligatures w14:val="none"/>
        </w:rPr>
      </w:pPr>
      <w:r w:rsidRPr="00905550">
        <w:rPr>
          <w:rFonts w:ascii="Calibri" w:eastAsia="Times New Roman" w:hAnsi="Calibri" w:cs="Calibri"/>
          <w:b/>
          <w:bCs/>
          <w:color w:val="333333"/>
          <w:kern w:val="0"/>
          <w:sz w:val="28"/>
          <w:szCs w:val="28"/>
          <w:u w:val="single"/>
          <w:lang w:eastAsia="pl-PL"/>
          <w14:ligatures w14:val="none"/>
        </w:rPr>
        <w:t>Dzień pierwszy</w:t>
      </w:r>
      <w:r w:rsidR="00DB1168">
        <w:rPr>
          <w:rFonts w:ascii="Calibri" w:eastAsia="Times New Roman" w:hAnsi="Calibri" w:cs="Calibri"/>
          <w:b/>
          <w:bCs/>
          <w:color w:val="333333"/>
          <w:kern w:val="0"/>
          <w:sz w:val="28"/>
          <w:szCs w:val="28"/>
          <w:u w:val="single"/>
          <w:lang w:eastAsia="pl-PL"/>
          <w14:ligatures w14:val="none"/>
        </w:rPr>
        <w:t xml:space="preserve"> - </w:t>
      </w:r>
      <w:r w:rsidR="0086568A">
        <w:rPr>
          <w:rFonts w:ascii="Calibri" w:eastAsia="Times New Roman" w:hAnsi="Calibri" w:cs="Calibri"/>
          <w:b/>
          <w:bCs/>
          <w:color w:val="333333"/>
          <w:kern w:val="0"/>
          <w:sz w:val="28"/>
          <w:szCs w:val="28"/>
          <w:u w:val="single"/>
          <w:lang w:eastAsia="pl-PL"/>
          <w14:ligatures w14:val="none"/>
        </w:rPr>
        <w:t>28</w:t>
      </w:r>
      <w:r w:rsidR="00DB1168">
        <w:rPr>
          <w:rFonts w:ascii="Calibri" w:eastAsia="Times New Roman" w:hAnsi="Calibri" w:cs="Calibri"/>
          <w:b/>
          <w:bCs/>
          <w:color w:val="333333"/>
          <w:kern w:val="0"/>
          <w:sz w:val="28"/>
          <w:szCs w:val="28"/>
          <w:u w:val="single"/>
          <w:lang w:eastAsia="pl-PL"/>
          <w14:ligatures w14:val="none"/>
        </w:rPr>
        <w:t>.</w:t>
      </w:r>
      <w:r w:rsidR="0086568A">
        <w:rPr>
          <w:rFonts w:ascii="Calibri" w:eastAsia="Times New Roman" w:hAnsi="Calibri" w:cs="Calibri"/>
          <w:b/>
          <w:bCs/>
          <w:color w:val="333333"/>
          <w:kern w:val="0"/>
          <w:sz w:val="28"/>
          <w:szCs w:val="28"/>
          <w:u w:val="single"/>
          <w:lang w:eastAsia="pl-PL"/>
          <w14:ligatures w14:val="none"/>
        </w:rPr>
        <w:t>0</w:t>
      </w:r>
      <w:r w:rsidR="00DB1168">
        <w:rPr>
          <w:rFonts w:ascii="Calibri" w:eastAsia="Times New Roman" w:hAnsi="Calibri" w:cs="Calibri"/>
          <w:b/>
          <w:bCs/>
          <w:color w:val="333333"/>
          <w:kern w:val="0"/>
          <w:sz w:val="28"/>
          <w:szCs w:val="28"/>
          <w:u w:val="single"/>
          <w:lang w:eastAsia="pl-PL"/>
          <w14:ligatures w14:val="none"/>
        </w:rPr>
        <w:t>2.202</w:t>
      </w:r>
      <w:r w:rsidR="0086568A">
        <w:rPr>
          <w:rFonts w:ascii="Calibri" w:eastAsia="Times New Roman" w:hAnsi="Calibri" w:cs="Calibri"/>
          <w:b/>
          <w:bCs/>
          <w:color w:val="333333"/>
          <w:kern w:val="0"/>
          <w:sz w:val="28"/>
          <w:szCs w:val="28"/>
          <w:u w:val="single"/>
          <w:lang w:eastAsia="pl-PL"/>
          <w14:ligatures w14:val="none"/>
        </w:rPr>
        <w:t>6</w:t>
      </w:r>
    </w:p>
    <w:p w14:paraId="7254CFBB" w14:textId="77777777" w:rsidR="00905550" w:rsidRPr="00905550" w:rsidRDefault="00905550" w:rsidP="009055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</w:pPr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u w:val="single"/>
          <w:lang w:eastAsia="pl-PL"/>
          <w14:ligatures w14:val="none"/>
        </w:rPr>
        <w:t>09:00 – 09:20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t> – </w:t>
      </w:r>
      <w:proofErr w:type="spellStart"/>
      <w:proofErr w:type="gramStart"/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pl-PL"/>
          <w14:ligatures w14:val="none"/>
        </w:rPr>
        <w:t>Wprowadzenie,prezentacja</w:t>
      </w:r>
      <w:proofErr w:type="spellEnd"/>
      <w:proofErr w:type="gramEnd"/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pl-PL"/>
          <w14:ligatures w14:val="none"/>
        </w:rPr>
        <w:t xml:space="preserve"> programu, zasad bezpieczeństwa i celów szkolenia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br/>
      </w:r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u w:val="single"/>
          <w:lang w:eastAsia="pl-PL"/>
          <w14:ligatures w14:val="none"/>
        </w:rPr>
        <w:t>9:20 – 10:50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t> – </w:t>
      </w:r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pl-PL"/>
          <w14:ligatures w14:val="none"/>
        </w:rPr>
        <w:t>Sesja I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br/>
        <w:t xml:space="preserve">Charakterystyka zagrożeń CBRNE i ich wpływ na system ochrony zdrowia; rola zespołów medycznych; podstawy </w:t>
      </w:r>
      <w:proofErr w:type="spellStart"/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t>triage</w:t>
      </w:r>
      <w:proofErr w:type="spellEnd"/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t xml:space="preserve"> w CBRNE.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br/>
        <w:t>Dowodzenie, łączność i logistyka medyczna w CBRNE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br/>
      </w:r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u w:val="single"/>
          <w:lang w:eastAsia="pl-PL"/>
          <w14:ligatures w14:val="none"/>
        </w:rPr>
        <w:t>10:50 – 11:05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t> – </w:t>
      </w:r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pl-PL"/>
          <w14:ligatures w14:val="none"/>
        </w:rPr>
        <w:t>Przerwa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br/>
      </w:r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u w:val="single"/>
          <w:lang w:eastAsia="pl-PL"/>
          <w14:ligatures w14:val="none"/>
        </w:rPr>
        <w:t>11:05 – 12:35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t> – </w:t>
      </w:r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pl-PL"/>
          <w14:ligatures w14:val="none"/>
        </w:rPr>
        <w:t>Sesja II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br/>
        <w:t>Ochrona i bezpieczeństwo personelu. Ochrona indywidualna i strefowanie miejsca zdarzenia; dekontaminacja personelu i sprzętu; środki ochrony indywidualnej w praktyce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br/>
      </w:r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u w:val="single"/>
          <w:lang w:eastAsia="pl-PL"/>
          <w14:ligatures w14:val="none"/>
        </w:rPr>
        <w:t>12:35 – 12:50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t> – </w:t>
      </w:r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pl-PL"/>
          <w14:ligatures w14:val="none"/>
        </w:rPr>
        <w:t>Przerwa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br/>
      </w:r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u w:val="single"/>
          <w:lang w:eastAsia="pl-PL"/>
          <w14:ligatures w14:val="none"/>
        </w:rPr>
        <w:t>12:50 – 14:20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t> – </w:t>
      </w:r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pl-PL"/>
          <w14:ligatures w14:val="none"/>
        </w:rPr>
        <w:t>Sesja III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br/>
        <w:t>Detekcja i identyfikacja. Przegląd metod detekcji czynników chemicznych, biologicznych i radiacyjnych; pobieranie i transport próbek; zastosowanie urządzeń przyłóżkowych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br/>
      </w:r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u w:val="single"/>
          <w:lang w:eastAsia="pl-PL"/>
          <w14:ligatures w14:val="none"/>
        </w:rPr>
        <w:t>14:20 – 14:50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t> – </w:t>
      </w:r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pl-PL"/>
          <w14:ligatures w14:val="none"/>
        </w:rPr>
        <w:t>Przerwa obiadowa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br/>
      </w:r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u w:val="single"/>
          <w:lang w:eastAsia="pl-PL"/>
          <w14:ligatures w14:val="none"/>
        </w:rPr>
        <w:t>14:50 – 17:50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t> – </w:t>
      </w:r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pl-PL"/>
          <w14:ligatures w14:val="none"/>
        </w:rPr>
        <w:t>Sesja IV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br/>
        <w:t>Warsztaty praktyczne (rotacja grup A–C)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br/>
        <w:t>Zajęcia w podgrupach – symulacje kliniczne: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br/>
        <w:t>Temat 1: Wstępne zaopatrzenie pacjenta na miejscu zdarzenia – symulacje kliniczne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br/>
        <w:t>Temat 2: Dekontaminacja pacjenta – symulacje kliniczne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br/>
        <w:t>Temat 3: Przyjęcie pacjenta skażonego do strefy czystej / izolatora – symulacje kliniczne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br/>
      </w:r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u w:val="single"/>
          <w:lang w:eastAsia="pl-PL"/>
          <w14:ligatures w14:val="none"/>
        </w:rPr>
        <w:t>17:50 – 18:00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t> – </w:t>
      </w:r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pl-PL"/>
          <w14:ligatures w14:val="none"/>
        </w:rPr>
        <w:t>Podsumowanie dnia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br/>
        <w:t>Omówienie wniosków, pytania i dyskusja</w:t>
      </w:r>
    </w:p>
    <w:p w14:paraId="42B1829D" w14:textId="77777777" w:rsidR="00905550" w:rsidRPr="00905550" w:rsidRDefault="00905550" w:rsidP="009055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</w:pPr>
    </w:p>
    <w:p w14:paraId="3AB22488" w14:textId="46B5F8DA" w:rsidR="00905550" w:rsidRPr="00905550" w:rsidRDefault="00905550" w:rsidP="00905550">
      <w:pPr>
        <w:shd w:val="clear" w:color="auto" w:fill="FFFFFF"/>
        <w:spacing w:after="150" w:line="240" w:lineRule="auto"/>
        <w:ind w:left="720"/>
        <w:rPr>
          <w:rFonts w:ascii="Calibri" w:eastAsia="Times New Roman" w:hAnsi="Calibri" w:cs="Calibri"/>
          <w:color w:val="333333"/>
          <w:kern w:val="0"/>
          <w:sz w:val="28"/>
          <w:szCs w:val="28"/>
          <w:u w:val="single"/>
          <w:lang w:eastAsia="pl-PL"/>
          <w14:ligatures w14:val="none"/>
        </w:rPr>
      </w:pPr>
      <w:r w:rsidRPr="00905550">
        <w:rPr>
          <w:rFonts w:ascii="Calibri" w:eastAsia="Times New Roman" w:hAnsi="Calibri" w:cs="Calibri"/>
          <w:b/>
          <w:bCs/>
          <w:color w:val="333333"/>
          <w:kern w:val="0"/>
          <w:sz w:val="28"/>
          <w:szCs w:val="28"/>
          <w:u w:val="single"/>
          <w:lang w:eastAsia="pl-PL"/>
          <w14:ligatures w14:val="none"/>
        </w:rPr>
        <w:t>Dzień drugi</w:t>
      </w:r>
      <w:r w:rsidR="00DB1168">
        <w:rPr>
          <w:rFonts w:ascii="Calibri" w:eastAsia="Times New Roman" w:hAnsi="Calibri" w:cs="Calibri"/>
          <w:b/>
          <w:bCs/>
          <w:color w:val="333333"/>
          <w:kern w:val="0"/>
          <w:sz w:val="28"/>
          <w:szCs w:val="28"/>
          <w:u w:val="single"/>
          <w:lang w:eastAsia="pl-PL"/>
          <w14:ligatures w14:val="none"/>
        </w:rPr>
        <w:t xml:space="preserve"> – </w:t>
      </w:r>
      <w:r w:rsidR="0086568A">
        <w:rPr>
          <w:rFonts w:ascii="Calibri" w:eastAsia="Times New Roman" w:hAnsi="Calibri" w:cs="Calibri"/>
          <w:b/>
          <w:bCs/>
          <w:color w:val="333333"/>
          <w:kern w:val="0"/>
          <w:sz w:val="28"/>
          <w:szCs w:val="28"/>
          <w:u w:val="single"/>
          <w:lang w:eastAsia="pl-PL"/>
          <w14:ligatures w14:val="none"/>
        </w:rPr>
        <w:t>1</w:t>
      </w:r>
      <w:r w:rsidR="00DB1168">
        <w:rPr>
          <w:rFonts w:ascii="Calibri" w:eastAsia="Times New Roman" w:hAnsi="Calibri" w:cs="Calibri"/>
          <w:b/>
          <w:bCs/>
          <w:color w:val="333333"/>
          <w:kern w:val="0"/>
          <w:sz w:val="28"/>
          <w:szCs w:val="28"/>
          <w:u w:val="single"/>
          <w:lang w:eastAsia="pl-PL"/>
          <w14:ligatures w14:val="none"/>
        </w:rPr>
        <w:t>.</w:t>
      </w:r>
      <w:r w:rsidR="0086568A">
        <w:rPr>
          <w:rFonts w:ascii="Calibri" w:eastAsia="Times New Roman" w:hAnsi="Calibri" w:cs="Calibri"/>
          <w:b/>
          <w:bCs/>
          <w:color w:val="333333"/>
          <w:kern w:val="0"/>
          <w:sz w:val="28"/>
          <w:szCs w:val="28"/>
          <w:u w:val="single"/>
          <w:lang w:eastAsia="pl-PL"/>
          <w14:ligatures w14:val="none"/>
        </w:rPr>
        <w:t>03</w:t>
      </w:r>
      <w:r w:rsidR="00DB1168">
        <w:rPr>
          <w:rFonts w:ascii="Calibri" w:eastAsia="Times New Roman" w:hAnsi="Calibri" w:cs="Calibri"/>
          <w:b/>
          <w:bCs/>
          <w:color w:val="333333"/>
          <w:kern w:val="0"/>
          <w:sz w:val="28"/>
          <w:szCs w:val="28"/>
          <w:u w:val="single"/>
          <w:lang w:eastAsia="pl-PL"/>
          <w14:ligatures w14:val="none"/>
        </w:rPr>
        <w:t>.202</w:t>
      </w:r>
      <w:r w:rsidR="0086568A">
        <w:rPr>
          <w:rFonts w:ascii="Calibri" w:eastAsia="Times New Roman" w:hAnsi="Calibri" w:cs="Calibri"/>
          <w:b/>
          <w:bCs/>
          <w:color w:val="333333"/>
          <w:kern w:val="0"/>
          <w:sz w:val="28"/>
          <w:szCs w:val="28"/>
          <w:u w:val="single"/>
          <w:lang w:eastAsia="pl-PL"/>
          <w14:ligatures w14:val="none"/>
        </w:rPr>
        <w:t>6</w:t>
      </w:r>
    </w:p>
    <w:p w14:paraId="5F3048F3" w14:textId="77777777" w:rsidR="00905550" w:rsidRPr="00905550" w:rsidRDefault="00905550" w:rsidP="009055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</w:pPr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u w:val="single"/>
          <w:lang w:eastAsia="pl-PL"/>
          <w14:ligatures w14:val="none"/>
        </w:rPr>
        <w:t>08:45 – 09:00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t> – </w:t>
      </w:r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pl-PL"/>
          <w14:ligatures w14:val="none"/>
        </w:rPr>
        <w:t>Wprowadzenie Omówienie planu zajęć i zasad bezpieczeństwa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br/>
      </w:r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u w:val="single"/>
          <w:lang w:eastAsia="pl-PL"/>
          <w14:ligatures w14:val="none"/>
        </w:rPr>
        <w:t>09:00 – 14:45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t> – </w:t>
      </w:r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pl-PL"/>
          <w14:ligatures w14:val="none"/>
        </w:rPr>
        <w:t>Sesja V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br/>
        <w:t>Symulacje kliniczne (rotacja grup A–C)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br/>
        <w:t>Ćwiczenia scenariuszowe – symulacje kliniczne: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br/>
        <w:t>Temat 1: Wstępne zaopatrzenie pacjenta w strefie skażonej – symulacje kliniczne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br/>
        <w:t>Temat 2: Dekontaminacja pacjenta i personelu – symulacje kliniczne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br/>
        <w:t>Temat 3: Przyjęcie pacjenta do izolatora / SOR po zdarzeniu CBRNE – symulacje kliniczne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br/>
      </w:r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u w:val="single"/>
          <w:lang w:eastAsia="pl-PL"/>
          <w14:ligatures w14:val="none"/>
        </w:rPr>
        <w:t>14:45 – 15:00</w:t>
      </w:r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pl-PL"/>
          <w14:ligatures w14:val="none"/>
        </w:rPr>
        <w:t> 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t>– </w:t>
      </w:r>
      <w:proofErr w:type="spellStart"/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pl-PL"/>
          <w14:ligatures w14:val="none"/>
        </w:rPr>
        <w:t>Debriefing</w:t>
      </w:r>
      <w:proofErr w:type="spellEnd"/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pl-PL"/>
          <w14:ligatures w14:val="none"/>
        </w:rPr>
        <w:t xml:space="preserve"> i zakończenie szkolenia. Podsumowanie, wnioski, rozdanie certyfikatów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br/>
      </w:r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u w:val="single"/>
          <w:lang w:eastAsia="pl-PL"/>
          <w14:ligatures w14:val="none"/>
        </w:rPr>
        <w:t>15:00 – 15:30</w:t>
      </w:r>
      <w:r w:rsidRPr="00905550">
        <w:rPr>
          <w:rFonts w:ascii="Calibri" w:eastAsia="Times New Roman" w:hAnsi="Calibri" w:cs="Calibri"/>
          <w:color w:val="333333"/>
          <w:kern w:val="0"/>
          <w:sz w:val="26"/>
          <w:szCs w:val="26"/>
          <w:lang w:eastAsia="pl-PL"/>
          <w14:ligatures w14:val="none"/>
        </w:rPr>
        <w:t> – </w:t>
      </w:r>
      <w:r w:rsidRPr="00905550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pl-PL"/>
          <w14:ligatures w14:val="none"/>
        </w:rPr>
        <w:t>Obiad. Zakończenie kursu</w:t>
      </w:r>
    </w:p>
    <w:p w14:paraId="7395E158" w14:textId="77777777" w:rsidR="00954E58" w:rsidRPr="00905550" w:rsidRDefault="00954E58" w:rsidP="00905550">
      <w:pPr>
        <w:rPr>
          <w:rFonts w:ascii="Calibri" w:hAnsi="Calibri" w:cs="Calibri"/>
        </w:rPr>
      </w:pPr>
    </w:p>
    <w:sectPr w:rsidR="00954E58" w:rsidRPr="00905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DB"/>
    <w:rsid w:val="00756E33"/>
    <w:rsid w:val="0086568A"/>
    <w:rsid w:val="00894870"/>
    <w:rsid w:val="008A0F3A"/>
    <w:rsid w:val="00905550"/>
    <w:rsid w:val="00954E58"/>
    <w:rsid w:val="00C61EBF"/>
    <w:rsid w:val="00DB1168"/>
    <w:rsid w:val="00F2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AECD"/>
  <w15:chartTrackingRefBased/>
  <w15:docId w15:val="{3D16F68E-ED94-4326-896C-226CA617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1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1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1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1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1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1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1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1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1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1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1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1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19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19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19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19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19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19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1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1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1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1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1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19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19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19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1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19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19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Węgrzyn</dc:creator>
  <cp:keywords/>
  <dc:description/>
  <cp:lastModifiedBy>Paulina Węgrzyn</cp:lastModifiedBy>
  <cp:revision>4</cp:revision>
  <dcterms:created xsi:type="dcterms:W3CDTF">2025-11-25T09:55:00Z</dcterms:created>
  <dcterms:modified xsi:type="dcterms:W3CDTF">2025-12-14T11:18:00Z</dcterms:modified>
</cp:coreProperties>
</file>