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950D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PROGRAM KONFERENCJI POST-ESPEN 2025</w:t>
      </w:r>
    </w:p>
    <w:p w14:paraId="1B89E77F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Poznań, 17 stycznia 2026 r.</w:t>
      </w: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br/>
        <w:t>Miejsce: Hotel Sheraton</w:t>
      </w:r>
    </w:p>
    <w:p w14:paraId="1482A976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10:00 – 10:10</w:t>
      </w:r>
    </w:p>
    <w:p w14:paraId="73ABE1CA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Rozpoczęcie konferencji, przywitanie uczestników</w:t>
      </w: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Dorota Mańkowska-Wierzbicka, Stanisław Kłęk</w:t>
      </w:r>
    </w:p>
    <w:p w14:paraId="2401FEFE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SESJA I: DIAGNOSTYKA I OCENA STANU ODŻYWIENIA</w:t>
      </w:r>
    </w:p>
    <w:p w14:paraId="7BA00C71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10:10 – 10:40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  <w:t>GLIM i GLIS – aktualne wyzwania i kierunki zmian w diagnostyce niedożywienia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Stanisław Kłęk</w:t>
      </w:r>
    </w:p>
    <w:p w14:paraId="460A57C4" w14:textId="167538CB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10:40 – 11:10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  <w:t>Masa mięśniowa w otyłości – nowe wyzwania w erze terapii agonistami GLP-1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Dorota Mańkowska-Wierzbicka</w:t>
      </w:r>
    </w:p>
    <w:p w14:paraId="643A2CDC" w14:textId="77777777" w:rsidR="00283FDD" w:rsidRDefault="00283FDD" w:rsidP="00283F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11:10 – 11:40</w:t>
      </w:r>
    </w:p>
    <w:p w14:paraId="15D5D8D7" w14:textId="74C5D2F0" w:rsidR="00283FDD" w:rsidRDefault="00283FDD" w:rsidP="00283F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t>Sarkopenia – nowe kryteria diagnostyczne i znaczenie kliniczne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Magdalena Milewska</w:t>
      </w:r>
    </w:p>
    <w:p w14:paraId="49EB8C46" w14:textId="77777777" w:rsidR="00283FDD" w:rsidRPr="00283FDD" w:rsidRDefault="00283FDD" w:rsidP="00283F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</w:pPr>
    </w:p>
    <w:p w14:paraId="0B150814" w14:textId="77777777" w:rsidR="00283FDD" w:rsidRDefault="00283FDD" w:rsidP="00283FDD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11:40 – 12:10</w:t>
      </w: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br/>
      </w:r>
    </w:p>
    <w:p w14:paraId="47EC7364" w14:textId="3727C09D" w:rsidR="00283FDD" w:rsidRDefault="00283FDD" w:rsidP="00283FDD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t>Praktyczne aspekty wykorzystania bioimpedancji elektrycznej w ocenie stanu odżywienia pacjenta</w:t>
      </w:r>
      <w:r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D15FDC7" w14:textId="269EDA41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i/>
          <w:i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Edyta Wernio</w:t>
      </w:r>
    </w:p>
    <w:p w14:paraId="5513A183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12:10 – 12:30</w:t>
      </w:r>
    </w:p>
    <w:p w14:paraId="6D2804CA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Przerwa kawowa</w:t>
      </w:r>
    </w:p>
    <w:p w14:paraId="334CB04C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SESJA II: PRAKTYKA ŻYWIENIA KLINICZNEGO I NOWE TECHNOLOGIE</w:t>
      </w:r>
    </w:p>
    <w:p w14:paraId="20141147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12:30 – 13:00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  <w:t>Co nowego w onkologii? POST-ESPEN 2025 Praga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Aleksandra Kapała</w:t>
      </w:r>
    </w:p>
    <w:p w14:paraId="3CE79714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13:00 – 13:30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P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t>rehabilitacja w chirurgii onkologicznej – interdyscyplinarne podejście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Michał Jankowski</w:t>
      </w:r>
    </w:p>
    <w:p w14:paraId="1B9B9C48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13:30 – 14:00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  <w:t>Postępowanie w żywieniu domowym – nowe technologie i praktyczne doświadczenia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Marcin Folwarski</w:t>
      </w:r>
    </w:p>
    <w:p w14:paraId="3BC72A9B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14:00 – 14:30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  <w:t>Blended diets w żywieniu dojelitowym – aspekty bezpieczeństwa, składu i zastosowania klinicznego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Paweł Kabata</w:t>
      </w:r>
    </w:p>
    <w:p w14:paraId="62BA5BD7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14:30 – 15:20</w:t>
      </w:r>
    </w:p>
    <w:p w14:paraId="226237A6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Lunch</w:t>
      </w:r>
    </w:p>
    <w:p w14:paraId="2CFDAE67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SESJA III:</w:t>
      </w:r>
    </w:p>
    <w:p w14:paraId="1B1869C1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lastRenderedPageBreak/>
        <w:t>15:20 – 15:50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  <w:t>Białko i rytm dobowy w intensywnej terapii – czy czas karmienia ma znaczenie?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Katarzyna Matysiak Luśnia</w:t>
      </w:r>
    </w:p>
    <w:p w14:paraId="129DDDC5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15:50 – 16:20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  <w:t>Pacjent w podeszłym wieku z przewlekłą chorobą nerek – wyzwania i strategie żywieniowe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lang w:eastAsia="pl-PL"/>
          <w14:ligatures w14:val="none"/>
        </w:rPr>
        <w:t>Sylwia Małgorzewicz</w:t>
      </w:r>
    </w:p>
    <w:p w14:paraId="4D517B13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16:20 – 16:50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br/>
        <w:t>Rzut okiem eksperta na wybrane prace plakatowe z 47. ESPEN – co warto zapamiętać?</w:t>
      </w: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lang w:eastAsia="pl-PL"/>
          <w14:ligatures w14:val="none"/>
        </w:rPr>
        <w:t>Zbigniew Kamocki</w:t>
      </w:r>
    </w:p>
    <w:p w14:paraId="49EB5DB2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eastAsia="pl-PL"/>
          <w14:ligatures w14:val="none"/>
        </w:rPr>
        <w:t>16:50 – 17:10</w:t>
      </w:r>
    </w:p>
    <w:p w14:paraId="65764EAD" w14:textId="77777777" w:rsidR="00283FDD" w:rsidRPr="00283FDD" w:rsidRDefault="00283FDD" w:rsidP="00283FDD">
      <w:pPr>
        <w:shd w:val="clear" w:color="auto" w:fill="FFFFFF"/>
        <w:spacing w:line="240" w:lineRule="auto"/>
        <w:outlineLvl w:val="2"/>
        <w:rPr>
          <w:rFonts w:ascii="Aptos" w:eastAsia="Times New Roman" w:hAnsi="Aptos" w:cs="Arial"/>
          <w:b/>
          <w:bCs/>
          <w:color w:val="222222"/>
          <w:kern w:val="0"/>
          <w:lang w:eastAsia="pl-PL"/>
          <w14:ligatures w14:val="none"/>
        </w:rPr>
      </w:pPr>
      <w:r w:rsidRPr="00283FDD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Zakończenie konferencji – podsumowanie</w:t>
      </w:r>
      <w:r w:rsidRPr="00283FDD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br/>
      </w:r>
      <w:r w:rsidRPr="00283FDD">
        <w:rPr>
          <w:rFonts w:ascii="Times New Roman" w:eastAsia="Times New Roman" w:hAnsi="Times New Roman" w:cs="Times New Roman"/>
          <w:i/>
          <w:iCs/>
          <w:color w:val="222222"/>
          <w:kern w:val="0"/>
          <w:lang w:eastAsia="pl-PL"/>
          <w14:ligatures w14:val="none"/>
        </w:rPr>
        <w:t>Dorota Mańkowska-Wierzbicka, Stanisław Kłęk</w:t>
      </w:r>
    </w:p>
    <w:p w14:paraId="4ED114A8" w14:textId="77777777" w:rsidR="00283FDD" w:rsidRDefault="00283FDD"/>
    <w:sectPr w:rsidR="0028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DD"/>
    <w:rsid w:val="00202B08"/>
    <w:rsid w:val="00283FDD"/>
    <w:rsid w:val="0039048A"/>
    <w:rsid w:val="0070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498D"/>
  <w15:chartTrackingRefBased/>
  <w15:docId w15:val="{493CC95A-E83E-4C5E-B683-C8FFBA79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Mankowska-Wierzbicka</dc:creator>
  <cp:keywords/>
  <dc:description/>
  <cp:lastModifiedBy>Wietrzycka, Malgorzata</cp:lastModifiedBy>
  <cp:revision>2</cp:revision>
  <dcterms:created xsi:type="dcterms:W3CDTF">2025-11-24T08:41:00Z</dcterms:created>
  <dcterms:modified xsi:type="dcterms:W3CDTF">2025-11-24T08:41:00Z</dcterms:modified>
</cp:coreProperties>
</file>