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FC9AE" w14:textId="77777777" w:rsidR="00D404DA" w:rsidRDefault="00000000">
      <w:pPr>
        <w:pStyle w:val="Tytu"/>
      </w:pPr>
      <w:r>
        <w:rPr>
          <w:sz w:val="40"/>
          <w:szCs w:val="40"/>
        </w:rPr>
        <w:t>Elektroterapia zaawansowana</w:t>
      </w:r>
    </w:p>
    <w:p w14:paraId="5F68D833" w14:textId="77777777" w:rsidR="00D404DA" w:rsidRDefault="00000000">
      <w:pPr>
        <w:spacing w:after="300"/>
        <w:jc w:val="center"/>
      </w:pPr>
      <w:r>
        <w:rPr>
          <w:i/>
          <w:iCs/>
          <w:sz w:val="26"/>
          <w:szCs w:val="26"/>
        </w:rPr>
        <w:t>Rozwiązywanie istotnych klinicznie problemów u pacjentów z wszczepialnymi urządzeniami do terapii rytmu serca</w:t>
      </w:r>
    </w:p>
    <w:p w14:paraId="543AFB03" w14:textId="77777777" w:rsidR="00D404DA" w:rsidRDefault="00000000">
      <w:pPr>
        <w:pStyle w:val="Nagwek2"/>
      </w:pPr>
      <w:r>
        <w:t>Miejsce kursu</w:t>
      </w:r>
    </w:p>
    <w:p w14:paraId="75BC7DCD" w14:textId="77777777" w:rsidR="00D404DA" w:rsidRDefault="00000000">
      <w:pPr>
        <w:spacing w:after="80"/>
      </w:pPr>
      <w:r>
        <w:t>Centrum Symulacji Medycznych i Innowacji WUM</w:t>
      </w:r>
    </w:p>
    <w:p w14:paraId="5B3307E6" w14:textId="77777777" w:rsidR="00D404DA" w:rsidRDefault="00000000">
      <w:pPr>
        <w:spacing w:after="80"/>
      </w:pPr>
      <w:r>
        <w:t>ul. Pawińskiego 3a, Warszawa</w:t>
      </w:r>
    </w:p>
    <w:p w14:paraId="4FC2E815" w14:textId="77777777" w:rsidR="00D404DA" w:rsidRDefault="00000000">
      <w:pPr>
        <w:pStyle w:val="Nagwek2"/>
      </w:pPr>
      <w:r>
        <w:t>Kadra dydaktyczna</w:t>
      </w:r>
    </w:p>
    <w:p w14:paraId="034E4C31" w14:textId="77777777" w:rsidR="00D404DA" w:rsidRDefault="00000000">
      <w:pPr>
        <w:spacing w:after="80"/>
      </w:pPr>
      <w:r>
        <w:t>Kierownik naukowy: dr hab. n. med. Andrzej Cacko</w:t>
      </w:r>
    </w:p>
    <w:p w14:paraId="6DCDB01E" w14:textId="77777777" w:rsidR="00D404DA" w:rsidRDefault="00000000">
      <w:pPr>
        <w:spacing w:after="80"/>
      </w:pPr>
      <w:r>
        <w:t>Wykładowcy prowadzący: dr hab. n. med. Andrzej Cacko, lek. Jakub Rokicki</w:t>
      </w:r>
    </w:p>
    <w:p w14:paraId="06EA5136" w14:textId="77777777" w:rsidR="00D404DA" w:rsidRDefault="00000000">
      <w:pPr>
        <w:pStyle w:val="Nagwek2"/>
      </w:pPr>
      <w:r>
        <w:t>Opis kursu</w:t>
      </w:r>
    </w:p>
    <w:p w14:paraId="663A34A5" w14:textId="77777777" w:rsidR="00D404DA" w:rsidRDefault="00000000">
      <w:pPr>
        <w:spacing w:after="80"/>
      </w:pPr>
      <w:r>
        <w:t xml:space="preserve">Kurs w zakresie rozwiązywania problemów klinicznych u pacjentów z urządzeniami wszczepialnymi odpowiada na codzienne i te rzadziej spotykane zagadnienia kliniczne w oparciu o realne scenariusze diagnostyczne. W trakcie praktycznych warsztatów pochylimy się nad zapisami z układów stymulujących, kardiowerterów-defibrylatorów oraz układów </w:t>
      </w:r>
      <w:proofErr w:type="spellStart"/>
      <w:r>
        <w:t>resynchronizujących</w:t>
      </w:r>
      <w:proofErr w:type="spellEnd"/>
      <w:r>
        <w:t xml:space="preserve"> i w oparciu o kontekst kliniczny wypracujemy rozwiązanie problemu pacjenta.</w:t>
      </w:r>
    </w:p>
    <w:p w14:paraId="62028856" w14:textId="77777777" w:rsidR="00D404DA" w:rsidRDefault="00000000">
      <w:pPr>
        <w:spacing w:after="80"/>
      </w:pPr>
      <w:r>
        <w:t>Ta edycja kursu zarezerwowana jest dla osób posiadających średnie doświadczenie w zakresie programowania urządzeń wszczepialnych (wykonanych ok. 300 kontroli). Zachęcamy także do nadsyłania przykładów z własnej praktyki, nad którymi pochylimy się w anonimowej formie.</w:t>
      </w:r>
    </w:p>
    <w:p w14:paraId="163548C0" w14:textId="77777777" w:rsidR="00D404DA" w:rsidRDefault="00000000">
      <w:pPr>
        <w:spacing w:after="80"/>
      </w:pPr>
      <w:r>
        <w:t xml:space="preserve">Kurs skierowany jest do osób pracujących w ośrodkach zajmujących się pacjentami z wszczepialnymi urządzeniami kardiologicznymi, w tym przede wszystkim do lekarzy pracujących w oddziałach kardiologii, lecz także do osób wykonujących zawody medyczne na stanowiskach pielęgniarki/pielęgniarza, położnych, ratowników medycznych i </w:t>
      </w:r>
      <w:proofErr w:type="spellStart"/>
      <w:r>
        <w:t>elektroradiologów</w:t>
      </w:r>
      <w:proofErr w:type="spellEnd"/>
      <w:r>
        <w:t>.</w:t>
      </w:r>
    </w:p>
    <w:p w14:paraId="1534AABF" w14:textId="77777777" w:rsidR="00D404DA" w:rsidRDefault="00000000">
      <w:pPr>
        <w:pStyle w:val="Nagwek2"/>
      </w:pPr>
      <w:r>
        <w:t>Cele kursu</w:t>
      </w:r>
    </w:p>
    <w:p w14:paraId="20870F52" w14:textId="77777777" w:rsidR="00D404DA" w:rsidRDefault="00000000">
      <w:pPr>
        <w:pStyle w:val="Akapitzlist"/>
        <w:numPr>
          <w:ilvl w:val="0"/>
          <w:numId w:val="2"/>
        </w:numPr>
        <w:spacing w:after="40"/>
      </w:pPr>
      <w:r>
        <w:t>Interpretacja zapisów z urządzeń wszczepialnych serca o zaawansowanym stopniu trudności</w:t>
      </w:r>
    </w:p>
    <w:p w14:paraId="78637D86" w14:textId="77777777" w:rsidR="00D404DA" w:rsidRDefault="00000000">
      <w:pPr>
        <w:pStyle w:val="Akapitzlist"/>
        <w:numPr>
          <w:ilvl w:val="0"/>
          <w:numId w:val="2"/>
        </w:numPr>
        <w:spacing w:after="40"/>
      </w:pPr>
      <w:r>
        <w:t>Rozpoznawanie patologii pracy stymulatorów, ICD i CRT oraz dobór adekwatnego postępowania klinicznego</w:t>
      </w:r>
    </w:p>
    <w:p w14:paraId="1BD37B7D" w14:textId="77777777" w:rsidR="00D404DA" w:rsidRDefault="00000000">
      <w:pPr>
        <w:pStyle w:val="Akapitzlist"/>
        <w:numPr>
          <w:ilvl w:val="0"/>
          <w:numId w:val="2"/>
        </w:numPr>
        <w:spacing w:after="40"/>
      </w:pPr>
      <w:r>
        <w:t xml:space="preserve">Znajomość interfejsów i logiki programatorów wiodących producentów (Abbott, Biotronik, Boston </w:t>
      </w:r>
      <w:proofErr w:type="spellStart"/>
      <w:r>
        <w:t>Scientific</w:t>
      </w:r>
      <w:proofErr w:type="spellEnd"/>
      <w:r>
        <w:t xml:space="preserve">, </w:t>
      </w:r>
      <w:proofErr w:type="spellStart"/>
      <w:r>
        <w:t>Medtronic</w:t>
      </w:r>
      <w:proofErr w:type="spellEnd"/>
      <w:r>
        <w:t>)</w:t>
      </w:r>
    </w:p>
    <w:p w14:paraId="1B351CFD" w14:textId="77777777" w:rsidR="00D404DA" w:rsidRDefault="00000000">
      <w:pPr>
        <w:pStyle w:val="Akapitzlist"/>
        <w:numPr>
          <w:ilvl w:val="0"/>
          <w:numId w:val="2"/>
        </w:numPr>
        <w:spacing w:after="40"/>
      </w:pPr>
      <w:r>
        <w:t>Programowanie urządzeń w pożądany klinicznie sposób, w oparciu o medycynę opartą na rzetelnych źródłach naukowych</w:t>
      </w:r>
    </w:p>
    <w:p w14:paraId="5FA5E0B0" w14:textId="77777777" w:rsidR="00D404DA" w:rsidRDefault="00000000">
      <w:pPr>
        <w:pStyle w:val="Akapitzlist"/>
        <w:numPr>
          <w:ilvl w:val="0"/>
          <w:numId w:val="2"/>
        </w:numPr>
        <w:spacing w:after="40"/>
      </w:pPr>
      <w:r>
        <w:t>Świadome wykorzystanie zdalnego monitorowania, algorytmów predykcji zaostrzeń HF oraz nowoczesnych technologii (LLP, S-ICD, EV-ICD, WCD)</w:t>
      </w:r>
    </w:p>
    <w:p w14:paraId="79A9A46A" w14:textId="77777777" w:rsidR="00D404DA" w:rsidRDefault="00000000">
      <w:pPr>
        <w:pStyle w:val="Nagwek2"/>
      </w:pPr>
      <w:r>
        <w:t>Formuła zajęć</w:t>
      </w:r>
    </w:p>
    <w:p w14:paraId="7C156699" w14:textId="77777777" w:rsidR="00D404DA" w:rsidRDefault="00000000">
      <w:pPr>
        <w:spacing w:after="80"/>
      </w:pPr>
      <w:r>
        <w:t>Zajęcia będą miały charakter warsztatowy. Uczestnicy będą pracowali w małych grupach na programatorach różnych producentów. Treści dydaktyczne ilustrowane są realnymi przypadkami klinicznymi, zapisami EGM oraz przykładami z systemów zdalnego monitorowania.</w:t>
      </w:r>
    </w:p>
    <w:p w14:paraId="5C0DF198" w14:textId="77777777" w:rsidR="00D404DA" w:rsidRDefault="00000000">
      <w:pPr>
        <w:pStyle w:val="Nagwek1"/>
        <w:spacing w:before="360" w:after="200"/>
      </w:pPr>
      <w:r>
        <w:t>Harmonogram szkolenia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7660"/>
      </w:tblGrid>
      <w:tr w:rsidR="00D404DA" w14:paraId="2F8EFCD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FA315B" w14:textId="77777777" w:rsidR="00D404DA" w:rsidRDefault="00000000">
            <w:r>
              <w:rPr>
                <w:b/>
                <w:bCs/>
                <w:color w:val="FFFFFF"/>
              </w:rPr>
              <w:t>Godzina</w:t>
            </w:r>
          </w:p>
        </w:tc>
        <w:tc>
          <w:tcPr>
            <w:tcW w:w="7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44416F" w14:textId="77777777" w:rsidR="00D404DA" w:rsidRDefault="00000000">
            <w:r>
              <w:rPr>
                <w:b/>
                <w:bCs/>
                <w:color w:val="FFFFFF"/>
              </w:rPr>
              <w:t>Treść zajęć</w:t>
            </w:r>
          </w:p>
        </w:tc>
      </w:tr>
      <w:tr w:rsidR="00D404DA" w14:paraId="636CE2F6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86A2D1" w14:textId="77777777" w:rsidR="00D404DA" w:rsidRDefault="00000000">
            <w:r>
              <w:rPr>
                <w:b/>
                <w:bCs/>
              </w:rPr>
              <w:t>9:00–9:15</w:t>
            </w:r>
          </w:p>
        </w:tc>
        <w:tc>
          <w:tcPr>
            <w:tcW w:w="7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20F62F" w14:textId="77777777" w:rsidR="00D404DA" w:rsidRDefault="00000000">
            <w:pPr>
              <w:spacing w:after="80"/>
            </w:pPr>
            <w:r>
              <w:rPr>
                <w:b/>
                <w:bCs/>
              </w:rPr>
              <w:t>Powitanie uczestników</w:t>
            </w:r>
          </w:p>
          <w:p w14:paraId="66911CC6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lastRenderedPageBreak/>
              <w:t>Przedstawienie wykładowców i uczestników</w:t>
            </w:r>
          </w:p>
          <w:p w14:paraId="6809BE81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Omówienie celów oraz formuły warsztatowej kursu</w:t>
            </w:r>
          </w:p>
          <w:p w14:paraId="58DE4E40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 xml:space="preserve">Krótkie wprowadzenie do problematyki zaawansowanego </w:t>
            </w:r>
            <w:proofErr w:type="spellStart"/>
            <w:r>
              <w:t>troubleshootingu</w:t>
            </w:r>
            <w:proofErr w:type="spellEnd"/>
            <w:r>
              <w:t xml:space="preserve"> CIED</w:t>
            </w:r>
          </w:p>
        </w:tc>
      </w:tr>
      <w:tr w:rsidR="00D404DA" w14:paraId="02811E8F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4BDEEB" w14:textId="77777777" w:rsidR="00D404DA" w:rsidRDefault="00000000">
            <w:r>
              <w:rPr>
                <w:b/>
                <w:bCs/>
              </w:rPr>
              <w:lastRenderedPageBreak/>
              <w:t>9:15–10:15</w:t>
            </w:r>
          </w:p>
        </w:tc>
        <w:tc>
          <w:tcPr>
            <w:tcW w:w="7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0B3B842" w14:textId="77777777" w:rsidR="00D404DA" w:rsidRDefault="00000000">
            <w:pPr>
              <w:spacing w:after="80"/>
            </w:pPr>
            <w:r>
              <w:rPr>
                <w:b/>
                <w:bCs/>
              </w:rPr>
              <w:t>Powtórka z CIED – tryby pracy, podstawy działania</w:t>
            </w:r>
          </w:p>
          <w:p w14:paraId="39B0A27B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Konstrukcja i rodzaje urządzeń (PM, ICD, CRT-P/D)</w:t>
            </w:r>
          </w:p>
          <w:p w14:paraId="48560EBE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Stymulacja unipolarna vs bipolarna; wektory stymulacji</w:t>
            </w:r>
          </w:p>
          <w:p w14:paraId="2880627F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 xml:space="preserve">Tryb DDD i pochodne – AVD/PVARP/UTR/TARP, </w:t>
            </w:r>
            <w:proofErr w:type="spellStart"/>
            <w:r>
              <w:t>mode</w:t>
            </w:r>
            <w:proofErr w:type="spellEnd"/>
            <w:r>
              <w:t xml:space="preserve"> </w:t>
            </w:r>
            <w:proofErr w:type="spellStart"/>
            <w:r>
              <w:t>switching</w:t>
            </w:r>
            <w:proofErr w:type="spellEnd"/>
          </w:p>
          <w:p w14:paraId="604F62F3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Co widzi stymulator vs co widzi lekarz: zdarzenia As/</w:t>
            </w:r>
            <w:proofErr w:type="spellStart"/>
            <w:r>
              <w:t>Ap</w:t>
            </w:r>
            <w:proofErr w:type="spellEnd"/>
            <w:r>
              <w:t>/Vs/</w:t>
            </w:r>
            <w:proofErr w:type="spellStart"/>
            <w:r>
              <w:t>Vp</w:t>
            </w:r>
            <w:proofErr w:type="spellEnd"/>
            <w:r>
              <w:t>, hierarchia algorytmów</w:t>
            </w:r>
          </w:p>
          <w:p w14:paraId="6093E2AF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 xml:space="preserve">Mechanizmy </w:t>
            </w:r>
            <w:proofErr w:type="spellStart"/>
            <w:r>
              <w:t>safety-pacing</w:t>
            </w:r>
            <w:proofErr w:type="spellEnd"/>
            <w:r>
              <w:t xml:space="preserve"> (VSP) i ich konsekwencje</w:t>
            </w:r>
          </w:p>
          <w:p w14:paraId="246C4EAF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AHRE/AFB – rejestracja i znaczenie kliniczne</w:t>
            </w:r>
          </w:p>
          <w:p w14:paraId="6A1353C2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Zależność od stymulacji – jak ocenić w praktyce</w:t>
            </w:r>
          </w:p>
        </w:tc>
      </w:tr>
      <w:tr w:rsidR="00D404DA" w14:paraId="0186F9E8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E7E08B3" w14:textId="77777777" w:rsidR="00D404DA" w:rsidRDefault="00000000">
            <w:r>
              <w:rPr>
                <w:b/>
                <w:bCs/>
              </w:rPr>
              <w:t>10:15–11:00</w:t>
            </w:r>
          </w:p>
        </w:tc>
        <w:tc>
          <w:tcPr>
            <w:tcW w:w="7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4209013" w14:textId="77777777" w:rsidR="00D404DA" w:rsidRDefault="00000000">
            <w:pPr>
              <w:spacing w:after="80"/>
            </w:pPr>
            <w:r>
              <w:rPr>
                <w:b/>
                <w:bCs/>
              </w:rPr>
              <w:t>Podstawowe zaburzenia stymulacji</w:t>
            </w:r>
          </w:p>
          <w:p w14:paraId="6043F999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 xml:space="preserve">Częstoskurcz </w:t>
            </w:r>
            <w:proofErr w:type="spellStart"/>
            <w:r>
              <w:t>pośredniczony</w:t>
            </w:r>
            <w:proofErr w:type="spellEnd"/>
            <w:r>
              <w:t xml:space="preserve"> przez stymulator (PMT) – patofizjologia i odmiany</w:t>
            </w:r>
          </w:p>
          <w:p w14:paraId="2ACB547A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Częstoskurcz niekończącej się pętli (ELT/</w:t>
            </w:r>
            <w:proofErr w:type="spellStart"/>
            <w:r>
              <w:t>Endless</w:t>
            </w:r>
            <w:proofErr w:type="spellEnd"/>
            <w:r>
              <w:t xml:space="preserve"> </w:t>
            </w:r>
            <w:proofErr w:type="spellStart"/>
            <w:r>
              <w:t>Loop</w:t>
            </w:r>
            <w:proofErr w:type="spellEnd"/>
            <w:r>
              <w:t xml:space="preserve"> </w:t>
            </w:r>
            <w:proofErr w:type="spellStart"/>
            <w:r>
              <w:t>Tachycardia</w:t>
            </w:r>
            <w:proofErr w:type="spellEnd"/>
            <w:r>
              <w:t>) – weryfikacja i postępowanie</w:t>
            </w:r>
          </w:p>
          <w:p w14:paraId="55748364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Zespół stymulatorowy (</w:t>
            </w:r>
            <w:proofErr w:type="spellStart"/>
            <w:r>
              <w:t>Pacemaker</w:t>
            </w:r>
            <w:proofErr w:type="spellEnd"/>
            <w:r>
              <w:t xml:space="preserve"> </w:t>
            </w:r>
            <w:proofErr w:type="spellStart"/>
            <w:r>
              <w:t>Syndrome</w:t>
            </w:r>
            <w:proofErr w:type="spellEnd"/>
            <w:r>
              <w:t>) – heterogenność objawów i przyczyn</w:t>
            </w:r>
          </w:p>
          <w:p w14:paraId="71E18092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 xml:space="preserve">Długi odstęp AV/PQ, nadczułość załamka T, nieskuteczna stymulacja LV jako </w:t>
            </w:r>
            <w:proofErr w:type="spellStart"/>
            <w:r>
              <w:t>triggery</w:t>
            </w:r>
            <w:proofErr w:type="spellEnd"/>
          </w:p>
          <w:p w14:paraId="730E5ACB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Nieadekwatna modulacja częstości – funkcje R (</w:t>
            </w:r>
            <w:proofErr w:type="spellStart"/>
            <w:r>
              <w:t>Medtronic</w:t>
            </w:r>
            <w:proofErr w:type="spellEnd"/>
            <w:r>
              <w:t>, Biotronik) i CLS</w:t>
            </w:r>
          </w:p>
          <w:p w14:paraId="08BE2465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Analiza przypadków klinicznych (m.in. pacjentka K.E., pacjent F.A.)</w:t>
            </w:r>
          </w:p>
        </w:tc>
      </w:tr>
      <w:tr w:rsidR="00D404DA" w14:paraId="7ECC3C85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2DEA23" w14:textId="77777777" w:rsidR="00D404DA" w:rsidRDefault="00000000">
            <w:r>
              <w:rPr>
                <w:b/>
                <w:bCs/>
              </w:rPr>
              <w:t>11:00–11:15</w:t>
            </w:r>
          </w:p>
        </w:tc>
        <w:tc>
          <w:tcPr>
            <w:tcW w:w="7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67C04AE" w14:textId="77777777" w:rsidR="00D404DA" w:rsidRDefault="00000000">
            <w:r>
              <w:rPr>
                <w:b/>
                <w:bCs/>
              </w:rPr>
              <w:t>Przerwa kawowa</w:t>
            </w:r>
          </w:p>
        </w:tc>
      </w:tr>
      <w:tr w:rsidR="00D404DA" w14:paraId="5CFC6BDA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3AB070" w14:textId="77777777" w:rsidR="00D404DA" w:rsidRDefault="00000000">
            <w:r>
              <w:rPr>
                <w:b/>
                <w:bCs/>
              </w:rPr>
              <w:t>11:15–12:15</w:t>
            </w:r>
          </w:p>
        </w:tc>
        <w:tc>
          <w:tcPr>
            <w:tcW w:w="7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8FB358" w14:textId="77777777" w:rsidR="00D404DA" w:rsidRDefault="00000000">
            <w:pPr>
              <w:spacing w:after="80"/>
            </w:pPr>
            <w:r>
              <w:rPr>
                <w:b/>
                <w:bCs/>
              </w:rPr>
              <w:t>Jak programować stymulatory, by nie szkodzić?</w:t>
            </w:r>
          </w:p>
          <w:p w14:paraId="0DE01E26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 xml:space="preserve">Niekorzystne efekty stymulacji RV: </w:t>
            </w:r>
            <w:proofErr w:type="spellStart"/>
            <w:r>
              <w:t>kardiomiopatia</w:t>
            </w:r>
            <w:proofErr w:type="spellEnd"/>
            <w:r>
              <w:t xml:space="preserve"> stymulatorowa, AF, HF, gorsze rokowanie po TAVI</w:t>
            </w:r>
          </w:p>
          <w:p w14:paraId="69F14FEC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Promocja własnego przewodzenia AV – histereza, wydłużanie AVD</w:t>
            </w:r>
          </w:p>
          <w:p w14:paraId="699412CF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 xml:space="preserve">Algorytmy unikania stymulacji RV: MVP, AAI(R)+, ADI(R), VIP, AV </w:t>
            </w:r>
            <w:proofErr w:type="spellStart"/>
            <w:r>
              <w:t>Hysteresis</w:t>
            </w:r>
            <w:proofErr w:type="spellEnd"/>
            <w:r>
              <w:t xml:space="preserve">/IRS, AV </w:t>
            </w:r>
            <w:proofErr w:type="spellStart"/>
            <w:r>
              <w:t>Search</w:t>
            </w:r>
            <w:proofErr w:type="spellEnd"/>
            <w:r>
              <w:t xml:space="preserve"> Plus, RYTHMIQ</w:t>
            </w:r>
          </w:p>
          <w:p w14:paraId="70A275A0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 xml:space="preserve">Programowanie w SND, zespole </w:t>
            </w:r>
            <w:proofErr w:type="spellStart"/>
            <w:r>
              <w:t>tachy-brady</w:t>
            </w:r>
            <w:proofErr w:type="spellEnd"/>
            <w:r>
              <w:t xml:space="preserve"> i utrwalonych AVB – kiedy dążyć do CRT</w:t>
            </w:r>
          </w:p>
          <w:p w14:paraId="23876094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Stymulacja fizjologiczna układu przewodzącego (CSP): HBP i LBBA – wektory, energie, wyczuwanie</w:t>
            </w:r>
          </w:p>
          <w:p w14:paraId="1B90E55C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Konfiguracja kanałów vs konfiguracja układu w CSP; pułapki programowania</w:t>
            </w:r>
          </w:p>
          <w:p w14:paraId="20BBBADD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 xml:space="preserve">Stymulacja </w:t>
            </w:r>
            <w:proofErr w:type="spellStart"/>
            <w:r>
              <w:t>bezelektrodowa</w:t>
            </w:r>
            <w:proofErr w:type="spellEnd"/>
            <w:r>
              <w:t xml:space="preserve"> (Micra VR/AV, AVEIR VR/AR/DR, EMPOWER, WISE-CRT) – wskazania i ograniczenia</w:t>
            </w:r>
          </w:p>
        </w:tc>
      </w:tr>
      <w:tr w:rsidR="00D404DA" w14:paraId="17F2163D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AC2738B" w14:textId="77777777" w:rsidR="00D404DA" w:rsidRDefault="00000000">
            <w:r>
              <w:rPr>
                <w:b/>
                <w:bCs/>
              </w:rPr>
              <w:t>12:15–13:00</w:t>
            </w:r>
          </w:p>
        </w:tc>
        <w:tc>
          <w:tcPr>
            <w:tcW w:w="7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0D7842B" w14:textId="77777777" w:rsidR="00D404DA" w:rsidRDefault="00000000">
            <w:pPr>
              <w:spacing w:after="80"/>
            </w:pPr>
            <w:proofErr w:type="spellStart"/>
            <w:r>
              <w:rPr>
                <w:b/>
                <w:bCs/>
              </w:rPr>
              <w:t>Resynchronizacja</w:t>
            </w:r>
            <w:proofErr w:type="spellEnd"/>
            <w:r>
              <w:rPr>
                <w:b/>
                <w:bCs/>
              </w:rPr>
              <w:t xml:space="preserve"> serca (CRT) – zasada, programowanie, interpretacja EKG; CRT nie działa – co poprawić?</w:t>
            </w:r>
          </w:p>
          <w:p w14:paraId="16F65C4F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Zasada działania CRT, wskazania i efekty kliniczne (CARE-HF, RAFT)</w:t>
            </w:r>
          </w:p>
          <w:p w14:paraId="044011C1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lastRenderedPageBreak/>
              <w:t>Programowanie AVD/PAVD/VV, wybór wektora stymulacji LV (</w:t>
            </w:r>
            <w:proofErr w:type="spellStart"/>
            <w:r>
              <w:t>multipoint</w:t>
            </w:r>
            <w:proofErr w:type="spellEnd"/>
            <w:r>
              <w:t xml:space="preserve"> </w:t>
            </w:r>
            <w:proofErr w:type="spellStart"/>
            <w:r>
              <w:t>pacing</w:t>
            </w:r>
            <w:proofErr w:type="spellEnd"/>
            <w:r>
              <w:t>, unikanie PNS)</w:t>
            </w:r>
          </w:p>
          <w:p w14:paraId="28F5BE6E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 xml:space="preserve">CRT </w:t>
            </w:r>
            <w:proofErr w:type="spellStart"/>
            <w:r>
              <w:t>AutoAdaptive</w:t>
            </w:r>
            <w:proofErr w:type="spellEnd"/>
            <w:r>
              <w:t xml:space="preserve"> (Biotronik) i analogi pozostałych producentów</w:t>
            </w:r>
          </w:p>
          <w:p w14:paraId="769746F8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 xml:space="preserve">Ocena odpowiedzi na CRT: kliniczna, EKG, TTE, odsetek </w:t>
            </w:r>
            <w:proofErr w:type="spellStart"/>
            <w:r>
              <w:t>BiVp</w:t>
            </w:r>
            <w:proofErr w:type="spellEnd"/>
          </w:p>
          <w:p w14:paraId="248A7D19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 xml:space="preserve">Najczęstsze przyczyny utraty </w:t>
            </w:r>
            <w:proofErr w:type="spellStart"/>
            <w:r>
              <w:t>resynchronizacji</w:t>
            </w:r>
            <w:proofErr w:type="spellEnd"/>
            <w:r>
              <w:t>: PVC, AF z przewodzeniem, fuzja/</w:t>
            </w:r>
            <w:proofErr w:type="spellStart"/>
            <w:r>
              <w:t>pseudofuzja</w:t>
            </w:r>
            <w:proofErr w:type="spellEnd"/>
          </w:p>
          <w:p w14:paraId="6FEDFC39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 xml:space="preserve">Optymalizacja farmakoterapii sterowana danymi z urządzenia – studium przypadku z alertami </w:t>
            </w:r>
            <w:proofErr w:type="spellStart"/>
            <w:r>
              <w:t>HeartInsight</w:t>
            </w:r>
            <w:proofErr w:type="spellEnd"/>
          </w:p>
        </w:tc>
      </w:tr>
      <w:tr w:rsidR="00D404DA" w14:paraId="2029E454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4BDB7B" w14:textId="77777777" w:rsidR="00D404DA" w:rsidRDefault="00000000">
            <w:r>
              <w:rPr>
                <w:b/>
                <w:bCs/>
              </w:rPr>
              <w:lastRenderedPageBreak/>
              <w:t>13:00–13:45</w:t>
            </w:r>
          </w:p>
        </w:tc>
        <w:tc>
          <w:tcPr>
            <w:tcW w:w="7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2FD5CD" w14:textId="77777777" w:rsidR="00D404DA" w:rsidRDefault="00000000">
            <w:r>
              <w:rPr>
                <w:b/>
                <w:bCs/>
              </w:rPr>
              <w:t>Przerwa obiadowa</w:t>
            </w:r>
          </w:p>
        </w:tc>
      </w:tr>
      <w:tr w:rsidR="00D404DA" w14:paraId="4E4934B1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292F9B" w14:textId="77777777" w:rsidR="00D404DA" w:rsidRDefault="00000000">
            <w:r>
              <w:rPr>
                <w:b/>
                <w:bCs/>
              </w:rPr>
              <w:t>13:45–14:30</w:t>
            </w:r>
          </w:p>
        </w:tc>
        <w:tc>
          <w:tcPr>
            <w:tcW w:w="7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13EC8F" w14:textId="77777777" w:rsidR="00D404DA" w:rsidRDefault="00000000">
            <w:pPr>
              <w:spacing w:after="80"/>
            </w:pPr>
            <w:r>
              <w:rPr>
                <w:b/>
                <w:bCs/>
              </w:rPr>
              <w:t>Powikłania infekcyjne i nieinfekcyjne – jak rozpoznać i jak leczyć?</w:t>
            </w:r>
          </w:p>
          <w:p w14:paraId="7466D39C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 xml:space="preserve">Uszkodzenia elektrod – typy uszkodzeń zależnie od konstrukcji, EGM w uszkodzeniach, manewr </w:t>
            </w:r>
            <w:proofErr w:type="spellStart"/>
            <w:r>
              <w:t>Prayer</w:t>
            </w:r>
            <w:proofErr w:type="spellEnd"/>
          </w:p>
          <w:p w14:paraId="27D0F836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Profilaktyka IZW związanego z CIED – higiena, profilaktyka antybiotykowa, koperty antybiotykowe (TYRX, WRAP-IT)</w:t>
            </w:r>
          </w:p>
          <w:p w14:paraId="16CEEF89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Rozpoznanie infekcji loży vs infekcji systemowej; rola PET-CT</w:t>
            </w:r>
          </w:p>
          <w:p w14:paraId="1BC80BED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 xml:space="preserve">Antybiotykoterapia w IZW i czas leczenia (NVE vs PVE); rola </w:t>
            </w:r>
            <w:proofErr w:type="spellStart"/>
            <w:r>
              <w:t>rifampicyny</w:t>
            </w:r>
            <w:proofErr w:type="spellEnd"/>
          </w:p>
          <w:p w14:paraId="647E3C91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Usunięcie systemu (TLE) – wskazania, czas, postępowanie z elektrodą po ekstrakcji</w:t>
            </w:r>
          </w:p>
          <w:p w14:paraId="59E66CBA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Reimplantacja po zakażeniu – wybór implantu (S-ICD, EV-ICD, LLP)</w:t>
            </w:r>
          </w:p>
          <w:p w14:paraId="77E6048B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Pomost terapeutyczny: WCD (</w:t>
            </w:r>
            <w:proofErr w:type="spellStart"/>
            <w:r>
              <w:t>LifeVest</w:t>
            </w:r>
            <w:proofErr w:type="spellEnd"/>
            <w:r>
              <w:t>) – mechanizm, wskazania, SCD-PROTECT, ZMS, dane ESC 2022</w:t>
            </w:r>
          </w:p>
        </w:tc>
      </w:tr>
      <w:tr w:rsidR="00D404DA" w14:paraId="03DF2D0D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9774F3A" w14:textId="77777777" w:rsidR="00D404DA" w:rsidRDefault="00000000">
            <w:r>
              <w:rPr>
                <w:b/>
                <w:bCs/>
              </w:rPr>
              <w:t>14:30–15:15</w:t>
            </w:r>
          </w:p>
        </w:tc>
        <w:tc>
          <w:tcPr>
            <w:tcW w:w="7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27579D" w14:textId="77777777" w:rsidR="00D404DA" w:rsidRDefault="00000000">
            <w:pPr>
              <w:spacing w:after="80"/>
            </w:pPr>
            <w:r>
              <w:rPr>
                <w:b/>
                <w:bCs/>
              </w:rPr>
              <w:t xml:space="preserve">Nieadekwatne interwencje ICD – </w:t>
            </w:r>
            <w:proofErr w:type="spellStart"/>
            <w:r>
              <w:rPr>
                <w:b/>
                <w:bCs/>
              </w:rPr>
              <w:t>Primum</w:t>
            </w:r>
            <w:proofErr w:type="spellEnd"/>
            <w:r>
              <w:rPr>
                <w:b/>
                <w:bCs/>
              </w:rPr>
              <w:t xml:space="preserve"> non </w:t>
            </w:r>
            <w:proofErr w:type="spellStart"/>
            <w:r>
              <w:rPr>
                <w:b/>
                <w:bCs/>
              </w:rPr>
              <w:t>nocere</w:t>
            </w:r>
            <w:proofErr w:type="spellEnd"/>
          </w:p>
          <w:p w14:paraId="7D58D8F4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Programowanie stref detekcji (VT/FVT/VF), liczniki (</w:t>
            </w:r>
            <w:proofErr w:type="spellStart"/>
            <w:r>
              <w:t>counting</w:t>
            </w:r>
            <w:proofErr w:type="spellEnd"/>
            <w:r>
              <w:t>)</w:t>
            </w:r>
          </w:p>
          <w:p w14:paraId="54880E50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 xml:space="preserve">Dyskryminatory: morfologia, </w:t>
            </w:r>
            <w:proofErr w:type="spellStart"/>
            <w:r>
              <w:t>onset</w:t>
            </w:r>
            <w:proofErr w:type="spellEnd"/>
            <w:r>
              <w:t xml:space="preserve">, </w:t>
            </w:r>
            <w:proofErr w:type="spellStart"/>
            <w:r>
              <w:t>stability</w:t>
            </w:r>
            <w:proofErr w:type="spellEnd"/>
            <w:r>
              <w:t xml:space="preserve">, </w:t>
            </w:r>
            <w:proofErr w:type="gramStart"/>
            <w:r>
              <w:t>A:V</w:t>
            </w:r>
            <w:proofErr w:type="gramEnd"/>
            <w:r>
              <w:t xml:space="preserve"> – porównanie producentów</w:t>
            </w:r>
          </w:p>
          <w:p w14:paraId="0299EEB4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 xml:space="preserve">Drzewa decyzyjne: Abbott, </w:t>
            </w:r>
            <w:proofErr w:type="spellStart"/>
            <w:r>
              <w:t>Medtronic</w:t>
            </w:r>
            <w:proofErr w:type="spellEnd"/>
            <w:r>
              <w:t xml:space="preserve"> (ICD-VR vs ICD-DR/CRT-D), Boston </w:t>
            </w:r>
            <w:proofErr w:type="spellStart"/>
            <w:r>
              <w:t>Scientific</w:t>
            </w:r>
            <w:proofErr w:type="spellEnd"/>
            <w:r>
              <w:t xml:space="preserve"> </w:t>
            </w:r>
            <w:proofErr w:type="spellStart"/>
            <w:r>
              <w:t>Rhythm</w:t>
            </w:r>
            <w:proofErr w:type="spellEnd"/>
            <w:r>
              <w:t xml:space="preserve"> ID</w:t>
            </w:r>
          </w:p>
          <w:p w14:paraId="6667287C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Terapia niskoenergetyczna (ATP) – skuteczność i bezpieczeństwo</w:t>
            </w:r>
          </w:p>
          <w:p w14:paraId="1E8906A0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Adekwatne i nieadekwatne interwencje – analiza przykładów</w:t>
            </w:r>
          </w:p>
          <w:p w14:paraId="09CFEFFC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Burza elektryczna – etiologia, postępowanie doraźne i długoterminowe</w:t>
            </w:r>
          </w:p>
          <w:p w14:paraId="09365172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Interferencje elektromagnetyczne (EMI) jako przyczyna nieadekwatnych terapii</w:t>
            </w:r>
          </w:p>
        </w:tc>
      </w:tr>
      <w:tr w:rsidR="00D404DA" w14:paraId="3D0CCAA1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D00CC3" w14:textId="77777777" w:rsidR="00D404DA" w:rsidRDefault="00000000">
            <w:r>
              <w:rPr>
                <w:b/>
                <w:bCs/>
              </w:rPr>
              <w:t>15:15–15:50</w:t>
            </w:r>
          </w:p>
        </w:tc>
        <w:tc>
          <w:tcPr>
            <w:tcW w:w="7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8661CA" w14:textId="77777777" w:rsidR="00D404DA" w:rsidRDefault="00000000">
            <w:pPr>
              <w:spacing w:after="80"/>
            </w:pPr>
            <w:r>
              <w:rPr>
                <w:b/>
                <w:bCs/>
              </w:rPr>
              <w:t>Maraton mieszanych nieprawidłowości pracy urządzeń – poziom zaawansowany</w:t>
            </w:r>
          </w:p>
          <w:p w14:paraId="61627120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Pacjentka z dusznością wysiłkową – diagnostyka różnicowa, ocena przewodzenia wstecznego</w:t>
            </w:r>
          </w:p>
          <w:p w14:paraId="189AC44D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 xml:space="preserve">Nieprawidłowe EKG przy prawidłowo działającym układzie: elektroda w LV, MI w rytmie stymulowanym, pobudzenia zsumowane i </w:t>
            </w:r>
            <w:proofErr w:type="spellStart"/>
            <w:r>
              <w:t>pseudozsumowane</w:t>
            </w:r>
            <w:proofErr w:type="spellEnd"/>
          </w:p>
          <w:p w14:paraId="04697220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 xml:space="preserve">Zachowanie w UTR – </w:t>
            </w:r>
            <w:proofErr w:type="spellStart"/>
            <w:r>
              <w:t>periodyka</w:t>
            </w:r>
            <w:proofErr w:type="spellEnd"/>
            <w:r>
              <w:t xml:space="preserve"> </w:t>
            </w:r>
            <w:proofErr w:type="spellStart"/>
            <w:r>
              <w:t>Wenckebacha</w:t>
            </w:r>
            <w:proofErr w:type="spellEnd"/>
            <w:r>
              <w:t>, blok 2:1</w:t>
            </w:r>
          </w:p>
          <w:p w14:paraId="5C4BF949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Wsteczne załamki P – pułapki interpretacyjne</w:t>
            </w:r>
          </w:p>
          <w:p w14:paraId="69A7402E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Interferencje elektromagnetyczne w życiu codziennym (kąpiel, stacjonarna suszarka fryzjerska)</w:t>
            </w:r>
          </w:p>
          <w:p w14:paraId="50561CAC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„Stymulator nie działa” – algorytm diagnostyczny (EKG, RTG, monitorowanie, kontrola urządzenia)</w:t>
            </w:r>
          </w:p>
          <w:p w14:paraId="1296C4E9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lastRenderedPageBreak/>
              <w:t>Złożone przypadki kliniczne: ICD-VR po MI, burza po odstawieniu leków, pacjent pracujący zmianowo, ciąża u pacjentki z CIED</w:t>
            </w:r>
          </w:p>
        </w:tc>
      </w:tr>
      <w:tr w:rsidR="00D404DA" w14:paraId="655339ED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EC64DDE" w14:textId="77777777" w:rsidR="00D404DA" w:rsidRDefault="00000000">
            <w:r>
              <w:rPr>
                <w:b/>
                <w:bCs/>
              </w:rPr>
              <w:lastRenderedPageBreak/>
              <w:t>15:50–16:05</w:t>
            </w:r>
          </w:p>
        </w:tc>
        <w:tc>
          <w:tcPr>
            <w:tcW w:w="7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A60D27" w14:textId="77777777" w:rsidR="00D404DA" w:rsidRDefault="00000000">
            <w:r>
              <w:rPr>
                <w:b/>
                <w:bCs/>
              </w:rPr>
              <w:t>Przerwa kawowa</w:t>
            </w:r>
          </w:p>
        </w:tc>
      </w:tr>
      <w:tr w:rsidR="00D404DA" w14:paraId="374781D4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E2321B" w14:textId="77777777" w:rsidR="00D404DA" w:rsidRDefault="00000000">
            <w:r>
              <w:rPr>
                <w:b/>
                <w:bCs/>
              </w:rPr>
              <w:t>16:05–17:15</w:t>
            </w:r>
          </w:p>
        </w:tc>
        <w:tc>
          <w:tcPr>
            <w:tcW w:w="7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4A91D10" w14:textId="77777777" w:rsidR="00D404DA" w:rsidRDefault="00000000">
            <w:pPr>
              <w:spacing w:after="80"/>
            </w:pPr>
            <w:r>
              <w:rPr>
                <w:b/>
                <w:bCs/>
              </w:rPr>
              <w:t>Ćwiczenia praktyczne z programatorem</w:t>
            </w:r>
          </w:p>
          <w:p w14:paraId="56CCADD3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 xml:space="preserve">Praca w małych grupach na programatorach wiodących producentów (Abbott, Biotronik, Boston </w:t>
            </w:r>
            <w:proofErr w:type="spellStart"/>
            <w:r>
              <w:t>Scientific</w:t>
            </w:r>
            <w:proofErr w:type="spellEnd"/>
            <w:r>
              <w:t xml:space="preserve">, </w:t>
            </w:r>
            <w:proofErr w:type="spellStart"/>
            <w:r>
              <w:t>Medtronic</w:t>
            </w:r>
            <w:proofErr w:type="spellEnd"/>
            <w:r>
              <w:t>)</w:t>
            </w:r>
          </w:p>
          <w:p w14:paraId="05356EA4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Postępowanie przy kwalifikacji do MRI – urządzenia MR-</w:t>
            </w:r>
            <w:proofErr w:type="spellStart"/>
            <w:r>
              <w:t>conditional</w:t>
            </w:r>
            <w:proofErr w:type="spellEnd"/>
            <w:r>
              <w:t>, kontrola przed/po, modele organizacyjne</w:t>
            </w:r>
          </w:p>
          <w:p w14:paraId="6DE24E23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Zdalny nadzór nad pacjentem z CIED – model „</w:t>
            </w:r>
            <w:proofErr w:type="spellStart"/>
            <w:r>
              <w:t>all</w:t>
            </w:r>
            <w:proofErr w:type="spellEnd"/>
            <w:r>
              <w:t>-in-</w:t>
            </w:r>
            <w:proofErr w:type="spellStart"/>
            <w:r>
              <w:t>house</w:t>
            </w:r>
            <w:proofErr w:type="spellEnd"/>
            <w:r>
              <w:t>” i „data-service” na przykładzie UCKWUM</w:t>
            </w:r>
          </w:p>
          <w:p w14:paraId="1DDC7646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 xml:space="preserve">Algorytmy predykcji zaostrzenia HF: </w:t>
            </w:r>
            <w:proofErr w:type="spellStart"/>
            <w:r>
              <w:t>HeartLogic</w:t>
            </w:r>
            <w:proofErr w:type="spellEnd"/>
            <w:r>
              <w:t xml:space="preserve"> (Boston), </w:t>
            </w:r>
            <w:proofErr w:type="spellStart"/>
            <w:r>
              <w:t>HeartInsight</w:t>
            </w:r>
            <w:proofErr w:type="spellEnd"/>
            <w:r>
              <w:t xml:space="preserve"> (Biotronik), </w:t>
            </w:r>
            <w:proofErr w:type="spellStart"/>
            <w:r>
              <w:t>TriageHF</w:t>
            </w:r>
            <w:proofErr w:type="spellEnd"/>
            <w:r>
              <w:t xml:space="preserve"> (</w:t>
            </w:r>
            <w:proofErr w:type="spellStart"/>
            <w:r>
              <w:t>Medtronic</w:t>
            </w:r>
            <w:proofErr w:type="spellEnd"/>
            <w:r>
              <w:t>)</w:t>
            </w:r>
          </w:p>
          <w:p w14:paraId="2DB221F0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Badania kluczowe: MULTISENSE, SELENE-HF, IN-TIME, PARTNERS-HF, MORE-CARE</w:t>
            </w:r>
          </w:p>
          <w:p w14:paraId="25CCCB1B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 xml:space="preserve">Postępowanie w odpowiedzi na alerty HF – modyfikacja leczenia, </w:t>
            </w:r>
            <w:proofErr w:type="spellStart"/>
            <w:r>
              <w:t>telekonsultacja</w:t>
            </w:r>
            <w:proofErr w:type="spellEnd"/>
            <w:r>
              <w:t>, kardiowersja „na odległość”</w:t>
            </w:r>
          </w:p>
          <w:p w14:paraId="3C989942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 xml:space="preserve">Wybrane scenariusze: </w:t>
            </w:r>
            <w:proofErr w:type="spellStart"/>
            <w:r>
              <w:t>HFrEF</w:t>
            </w:r>
            <w:proofErr w:type="spellEnd"/>
            <w:r>
              <w:t xml:space="preserve"> z dużym ładunkiem PVC i </w:t>
            </w:r>
            <w:proofErr w:type="spellStart"/>
            <w:r>
              <w:t>flekainidem</w:t>
            </w:r>
            <w:proofErr w:type="spellEnd"/>
            <w:r>
              <w:t>; optymalizacja leczenia w oparciu o impedancję klatki piersiowej</w:t>
            </w:r>
          </w:p>
          <w:p w14:paraId="453C59A2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Warunki refundacji NFZ a koszty hospitalizacji w niewydolności serca</w:t>
            </w:r>
          </w:p>
        </w:tc>
      </w:tr>
      <w:tr w:rsidR="00D404DA" w14:paraId="3583EF8E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D4C8405" w14:textId="77777777" w:rsidR="00D404DA" w:rsidRDefault="00000000">
            <w:r>
              <w:rPr>
                <w:b/>
                <w:bCs/>
              </w:rPr>
              <w:t>17:15–17:30</w:t>
            </w:r>
          </w:p>
        </w:tc>
        <w:tc>
          <w:tcPr>
            <w:tcW w:w="7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71A423" w14:textId="77777777" w:rsidR="00D404DA" w:rsidRDefault="00000000">
            <w:pPr>
              <w:spacing w:after="80"/>
            </w:pPr>
            <w:r>
              <w:rPr>
                <w:b/>
                <w:bCs/>
              </w:rPr>
              <w:t>Podsumowanie dnia. Pytania i wątpliwości. Wręczenie certyfikatów</w:t>
            </w:r>
          </w:p>
          <w:p w14:paraId="21B290E8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Synteza najważniejszych zagadnień</w:t>
            </w:r>
          </w:p>
          <w:p w14:paraId="5A6DE4FA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Indywidualne pytania i omówienie zgłoszonych przez uczestników przypadków</w:t>
            </w:r>
          </w:p>
          <w:p w14:paraId="44F63CB6" w14:textId="77777777" w:rsidR="00D404DA" w:rsidRDefault="00000000">
            <w:pPr>
              <w:pStyle w:val="Akapitzlist"/>
              <w:numPr>
                <w:ilvl w:val="0"/>
                <w:numId w:val="2"/>
              </w:numPr>
              <w:spacing w:after="30"/>
            </w:pPr>
            <w:r>
              <w:t>Ocena szkolenia (ankieta), wręczenie certyfikatów</w:t>
            </w:r>
          </w:p>
        </w:tc>
      </w:tr>
    </w:tbl>
    <w:p w14:paraId="2189E178" w14:textId="77777777" w:rsidR="00D404DA" w:rsidRDefault="00000000">
      <w:pPr>
        <w:spacing w:before="240"/>
      </w:pPr>
      <w:r>
        <w:rPr>
          <w:i/>
          <w:iCs/>
        </w:rPr>
        <w:t>Czas trwania kursu: ok. 8,5 godziny (z przerwami).</w:t>
      </w:r>
    </w:p>
    <w:sectPr w:rsidR="00D404DA">
      <w:pgSz w:w="11906" w:h="16838"/>
      <w:pgMar w:top="1080" w:right="1080" w:bottom="108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D1693"/>
    <w:multiLevelType w:val="hybridMultilevel"/>
    <w:tmpl w:val="8152B184"/>
    <w:lvl w:ilvl="0" w:tplc="B4BE7CEA">
      <w:start w:val="1"/>
      <w:numFmt w:val="bullet"/>
      <w:lvlText w:val="●"/>
      <w:lvlJc w:val="left"/>
      <w:pPr>
        <w:ind w:left="720" w:hanging="360"/>
      </w:pPr>
    </w:lvl>
    <w:lvl w:ilvl="1" w:tplc="B092883C">
      <w:start w:val="1"/>
      <w:numFmt w:val="bullet"/>
      <w:lvlText w:val="○"/>
      <w:lvlJc w:val="left"/>
      <w:pPr>
        <w:ind w:left="1440" w:hanging="360"/>
      </w:pPr>
    </w:lvl>
    <w:lvl w:ilvl="2" w:tplc="CBFCF6BE">
      <w:start w:val="1"/>
      <w:numFmt w:val="bullet"/>
      <w:lvlText w:val="■"/>
      <w:lvlJc w:val="left"/>
      <w:pPr>
        <w:ind w:left="2160" w:hanging="360"/>
      </w:pPr>
    </w:lvl>
    <w:lvl w:ilvl="3" w:tplc="7D7EE0B6">
      <w:start w:val="1"/>
      <w:numFmt w:val="bullet"/>
      <w:lvlText w:val="●"/>
      <w:lvlJc w:val="left"/>
      <w:pPr>
        <w:ind w:left="2880" w:hanging="360"/>
      </w:pPr>
    </w:lvl>
    <w:lvl w:ilvl="4" w:tplc="26607342">
      <w:start w:val="1"/>
      <w:numFmt w:val="bullet"/>
      <w:lvlText w:val="○"/>
      <w:lvlJc w:val="left"/>
      <w:pPr>
        <w:ind w:left="3600" w:hanging="360"/>
      </w:pPr>
    </w:lvl>
    <w:lvl w:ilvl="5" w:tplc="1F86C2FA">
      <w:start w:val="1"/>
      <w:numFmt w:val="bullet"/>
      <w:lvlText w:val="■"/>
      <w:lvlJc w:val="left"/>
      <w:pPr>
        <w:ind w:left="4320" w:hanging="360"/>
      </w:pPr>
    </w:lvl>
    <w:lvl w:ilvl="6" w:tplc="6CC67D1A">
      <w:start w:val="1"/>
      <w:numFmt w:val="bullet"/>
      <w:lvlText w:val="●"/>
      <w:lvlJc w:val="left"/>
      <w:pPr>
        <w:ind w:left="5040" w:hanging="360"/>
      </w:pPr>
    </w:lvl>
    <w:lvl w:ilvl="7" w:tplc="F5B264AE">
      <w:start w:val="1"/>
      <w:numFmt w:val="bullet"/>
      <w:lvlText w:val="●"/>
      <w:lvlJc w:val="left"/>
      <w:pPr>
        <w:ind w:left="5760" w:hanging="360"/>
      </w:pPr>
    </w:lvl>
    <w:lvl w:ilvl="8" w:tplc="E9D898E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DBC6DA3"/>
    <w:multiLevelType w:val="hybridMultilevel"/>
    <w:tmpl w:val="C9DA4C1C"/>
    <w:lvl w:ilvl="0" w:tplc="5944F7A2">
      <w:start w:val="1"/>
      <w:numFmt w:val="bullet"/>
      <w:lvlText w:val="•"/>
      <w:lvlJc w:val="left"/>
      <w:pPr>
        <w:ind w:left="540" w:hanging="270"/>
      </w:pPr>
    </w:lvl>
    <w:lvl w:ilvl="1" w:tplc="87A67976">
      <w:start w:val="1"/>
      <w:numFmt w:val="bullet"/>
      <w:lvlText w:val="◦"/>
      <w:lvlJc w:val="left"/>
      <w:pPr>
        <w:ind w:left="900" w:hanging="270"/>
      </w:pPr>
    </w:lvl>
    <w:lvl w:ilvl="2" w:tplc="43BE1C64">
      <w:numFmt w:val="decimal"/>
      <w:lvlText w:val=""/>
      <w:lvlJc w:val="left"/>
    </w:lvl>
    <w:lvl w:ilvl="3" w:tplc="7090A9D6">
      <w:numFmt w:val="decimal"/>
      <w:lvlText w:val=""/>
      <w:lvlJc w:val="left"/>
    </w:lvl>
    <w:lvl w:ilvl="4" w:tplc="2A58BB18">
      <w:numFmt w:val="decimal"/>
      <w:lvlText w:val=""/>
      <w:lvlJc w:val="left"/>
    </w:lvl>
    <w:lvl w:ilvl="5" w:tplc="3E049CEE">
      <w:numFmt w:val="decimal"/>
      <w:lvlText w:val=""/>
      <w:lvlJc w:val="left"/>
    </w:lvl>
    <w:lvl w:ilvl="6" w:tplc="C804DDBE">
      <w:numFmt w:val="decimal"/>
      <w:lvlText w:val=""/>
      <w:lvlJc w:val="left"/>
    </w:lvl>
    <w:lvl w:ilvl="7" w:tplc="872C1C4E">
      <w:numFmt w:val="decimal"/>
      <w:lvlText w:val=""/>
      <w:lvlJc w:val="left"/>
    </w:lvl>
    <w:lvl w:ilvl="8" w:tplc="25BAD0B6">
      <w:numFmt w:val="decimal"/>
      <w:lvlText w:val=""/>
      <w:lvlJc w:val="left"/>
    </w:lvl>
  </w:abstractNum>
  <w:num w:numId="1" w16cid:durableId="112331697">
    <w:abstractNumId w:val="0"/>
    <w:lvlOverride w:ilvl="0">
      <w:startOverride w:val="1"/>
    </w:lvlOverride>
  </w:num>
  <w:num w:numId="2" w16cid:durableId="43235929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4DA"/>
    <w:rsid w:val="00061458"/>
    <w:rsid w:val="002F480B"/>
    <w:rsid w:val="00D4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77DE54"/>
  <w15:docId w15:val="{3ECBCF1E-AB55-B04C-A7EA-88D57D9F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spacing w:before="280" w:after="160"/>
      <w:outlineLvl w:val="0"/>
    </w:pPr>
    <w:rPr>
      <w:rFonts w:ascii="Aptos Display" w:eastAsia="Aptos Display" w:hAnsi="Aptos Display" w:cs="Aptos Display"/>
      <w:b/>
      <w:bCs/>
      <w:color w:val="1F3864"/>
      <w:sz w:val="30"/>
      <w:szCs w:val="30"/>
    </w:rPr>
  </w:style>
  <w:style w:type="paragraph" w:styleId="Nagwek2">
    <w:name w:val="heading 2"/>
    <w:uiPriority w:val="9"/>
    <w:unhideWhenUsed/>
    <w:qFormat/>
    <w:pPr>
      <w:spacing w:before="200" w:after="100"/>
      <w:outlineLvl w:val="1"/>
    </w:pPr>
    <w:rPr>
      <w:b/>
      <w:bCs/>
      <w:color w:val="1F3864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pPr>
      <w:spacing w:after="120"/>
      <w:jc w:val="center"/>
    </w:pPr>
    <w:rPr>
      <w:rFonts w:ascii="Aptos Display" w:eastAsia="Aptos Display" w:hAnsi="Aptos Display" w:cs="Aptos Display"/>
      <w:b/>
      <w:bCs/>
      <w:color w:val="1F3864"/>
      <w:sz w:val="44"/>
      <w:szCs w:val="44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1066</Words>
  <Characters>6834</Characters>
  <Application>Microsoft Office Word</Application>
  <DocSecurity>0</DocSecurity>
  <Lines>124</Lines>
  <Paragraphs>53</Paragraphs>
  <ScaleCrop>false</ScaleCrop>
  <Company/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Elektroterapia zaawansowana – plan szkolenia</dc:title>
  <dc:creator>Claude</dc:creator>
  <cp:lastModifiedBy>Jakub Rokicki</cp:lastModifiedBy>
  <cp:revision>2</cp:revision>
  <dcterms:created xsi:type="dcterms:W3CDTF">2026-05-19T10:26:00Z</dcterms:created>
  <dcterms:modified xsi:type="dcterms:W3CDTF">2026-05-19T10:26:00Z</dcterms:modified>
</cp:coreProperties>
</file>