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55E7" w14:textId="4AA9100C" w:rsidR="004F6820" w:rsidRPr="00FC4535" w:rsidRDefault="00FC4535" w:rsidP="00FC4535">
      <w:pPr>
        <w:rPr>
          <w:b/>
          <w:bCs/>
        </w:rPr>
      </w:pPr>
      <w:r w:rsidRPr="00FC4535">
        <w:rPr>
          <w:b/>
          <w:bCs/>
        </w:rPr>
        <w:t xml:space="preserve">Akademia Leczenia Ran </w:t>
      </w:r>
      <w:r w:rsidR="00307123">
        <w:rPr>
          <w:b/>
          <w:bCs/>
        </w:rPr>
        <w:t xml:space="preserve">Wejherowo </w:t>
      </w:r>
      <w:r w:rsidRPr="00FC4535">
        <w:rPr>
          <w:b/>
          <w:bCs/>
        </w:rPr>
        <w:t xml:space="preserve"> </w:t>
      </w:r>
      <w:r w:rsidR="004F6820">
        <w:rPr>
          <w:b/>
          <w:bCs/>
        </w:rPr>
        <w:t>2</w:t>
      </w:r>
      <w:r w:rsidR="00307123">
        <w:rPr>
          <w:b/>
          <w:bCs/>
        </w:rPr>
        <w:t>7</w:t>
      </w:r>
      <w:r w:rsidRPr="00FC4535">
        <w:rPr>
          <w:b/>
          <w:bCs/>
        </w:rPr>
        <w:t>.05.2026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0397"/>
      </w:tblGrid>
      <w:tr w:rsidR="00307123" w:rsidRPr="004F6820" w14:paraId="0730A310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5B7575" w14:textId="39E7641B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15.00 – 15.30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B5CAC5" w14:textId="5A2462D6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 xml:space="preserve">Rejestracja </w:t>
            </w:r>
            <w:proofErr w:type="spellStart"/>
            <w:r>
              <w:rPr>
                <w:color w:val="003867"/>
                <w:sz w:val="23"/>
                <w:szCs w:val="23"/>
              </w:rPr>
              <w:t>uczestnikówi</w:t>
            </w:r>
            <w:proofErr w:type="spellEnd"/>
            <w:r>
              <w:rPr>
                <w:color w:val="003867"/>
                <w:sz w:val="23"/>
                <w:szCs w:val="23"/>
              </w:rPr>
              <w:t xml:space="preserve"> poczęstunek</w:t>
            </w:r>
          </w:p>
        </w:tc>
      </w:tr>
      <w:tr w:rsidR="00307123" w:rsidRPr="004F6820" w14:paraId="22376083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EC58D4" w14:textId="6971D212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15.30 – 15.35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18A9CF" w14:textId="41B43919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Rozpoczęcie spotkania i przywitanie uczestników</w:t>
            </w:r>
          </w:p>
        </w:tc>
      </w:tr>
      <w:tr w:rsidR="00307123" w:rsidRPr="004F6820" w14:paraId="1FEE6CD9" w14:textId="77777777" w:rsidTr="004F682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7E5429" w14:textId="0FD94561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15.35 – 16.20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6F892E" w14:textId="53C7F3CA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 xml:space="preserve">Pierwszy etap ograniczania infekcji w świetle najnowszych wytycznych dotyczących postępowania miejscowego i ogólnego w ranach przewlekłych </w:t>
            </w:r>
            <w:r>
              <w:rPr>
                <w:b/>
                <w:bCs/>
                <w:color w:val="003867"/>
                <w:sz w:val="23"/>
                <w:szCs w:val="23"/>
              </w:rPr>
              <w:t>–prof. dr hab. n. med. Marzenna Bartoszewicz</w:t>
            </w:r>
          </w:p>
        </w:tc>
      </w:tr>
      <w:tr w:rsidR="00307123" w:rsidRPr="004F6820" w14:paraId="6E8007EA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D29115" w14:textId="14DDDD73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16.20 –17.00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149AB5" w14:textId="793616FD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 xml:space="preserve">Czysta rana warunkiem powodzenia terapeutycznego </w:t>
            </w:r>
            <w:r>
              <w:rPr>
                <w:b/>
                <w:bCs/>
                <w:color w:val="003867"/>
                <w:sz w:val="23"/>
                <w:szCs w:val="23"/>
              </w:rPr>
              <w:t>–dr n. farm. Przemysław Dalkowski</w:t>
            </w:r>
          </w:p>
        </w:tc>
      </w:tr>
      <w:tr w:rsidR="00307123" w:rsidRPr="004F6820" w14:paraId="1BB20238" w14:textId="77777777" w:rsidTr="004F682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BC8701" w14:textId="0BDC967F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17,00 –17.30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9419E4" w14:textId="41CA1D48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C58"/>
                <w:sz w:val="23"/>
                <w:szCs w:val="23"/>
              </w:rPr>
              <w:t xml:space="preserve">Oczyszczanie ran -co robimy aktualnie i dokąd zmierzamy </w:t>
            </w:r>
            <w:r>
              <w:rPr>
                <w:b/>
                <w:bCs/>
                <w:color w:val="003C58"/>
                <w:sz w:val="23"/>
                <w:szCs w:val="23"/>
              </w:rPr>
              <w:t xml:space="preserve">-dr n. med. Marcin </w:t>
            </w:r>
            <w:proofErr w:type="spellStart"/>
            <w:r>
              <w:rPr>
                <w:b/>
                <w:bCs/>
                <w:color w:val="003C58"/>
                <w:sz w:val="23"/>
                <w:szCs w:val="23"/>
              </w:rPr>
              <w:t>Malka</w:t>
            </w:r>
            <w:proofErr w:type="spellEnd"/>
          </w:p>
        </w:tc>
      </w:tr>
      <w:tr w:rsidR="00307123" w:rsidRPr="004F6820" w14:paraId="2858447A" w14:textId="77777777" w:rsidTr="004F682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0BCF46" w14:textId="7911CD6A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17.30–17.50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1B7B5C" w14:textId="645FDF8C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b/>
                <w:bCs/>
                <w:color w:val="00A7C5"/>
                <w:sz w:val="23"/>
                <w:szCs w:val="23"/>
              </w:rPr>
              <w:t>Przerwa kawowa</w:t>
            </w:r>
          </w:p>
        </w:tc>
      </w:tr>
      <w:tr w:rsidR="00307123" w:rsidRPr="004F6820" w14:paraId="328A899A" w14:textId="77777777" w:rsidTr="004F682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47BDCE" w14:textId="75B889D7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17.50–18.30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497E99" w14:textId="11EA3C84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 xml:space="preserve">Jak URGO odpowiada na potrzeby rany </w:t>
            </w:r>
            <w:r>
              <w:rPr>
                <w:b/>
                <w:bCs/>
                <w:color w:val="003867"/>
                <w:sz w:val="23"/>
                <w:szCs w:val="23"/>
              </w:rPr>
              <w:t xml:space="preserve">–WARSZTAT PRAKTYCZNY–mgr Magdalena </w:t>
            </w:r>
            <w:proofErr w:type="spellStart"/>
            <w:r>
              <w:rPr>
                <w:b/>
                <w:bCs/>
                <w:color w:val="003867"/>
                <w:sz w:val="23"/>
                <w:szCs w:val="23"/>
              </w:rPr>
              <w:t>Moździerska</w:t>
            </w:r>
            <w:proofErr w:type="spellEnd"/>
          </w:p>
        </w:tc>
      </w:tr>
      <w:tr w:rsidR="00307123" w:rsidRPr="004F6820" w14:paraId="092E645F" w14:textId="77777777" w:rsidTr="004F682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CDA081" w14:textId="0E2718B1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18.30– 19.00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933A3E" w14:textId="2EE7F2D5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C58"/>
                <w:sz w:val="23"/>
                <w:szCs w:val="23"/>
              </w:rPr>
              <w:t xml:space="preserve">Leczenie owrzodzeń żylnych –model współpracy między leczeniem miejscowym, a zabiegowym </w:t>
            </w:r>
            <w:r>
              <w:rPr>
                <w:b/>
                <w:bCs/>
                <w:color w:val="003C58"/>
                <w:sz w:val="23"/>
                <w:szCs w:val="23"/>
              </w:rPr>
              <w:t>-dr n. med. Dorota Piechota</w:t>
            </w:r>
          </w:p>
        </w:tc>
      </w:tr>
      <w:tr w:rsidR="00307123" w:rsidRPr="004F6820" w14:paraId="2082B9CF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CD5020" w14:textId="3F216BBB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19.00 –19.30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87BDA3" w14:textId="1DC0D370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 xml:space="preserve">Owrzodzenie żylne leczymy kompleksowo </w:t>
            </w:r>
            <w:r>
              <w:rPr>
                <w:b/>
                <w:bCs/>
                <w:color w:val="003867"/>
                <w:sz w:val="23"/>
                <w:szCs w:val="23"/>
              </w:rPr>
              <w:t>-dr n med. Andrzej Nowik</w:t>
            </w:r>
          </w:p>
        </w:tc>
      </w:tr>
      <w:tr w:rsidR="00307123" w:rsidRPr="004F6820" w14:paraId="73FE0911" w14:textId="77777777" w:rsidTr="004F6820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09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1EF864" w14:textId="7D96DD32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258"/>
                <w:sz w:val="23"/>
                <w:szCs w:val="23"/>
              </w:rPr>
              <w:t>19.30</w:t>
            </w:r>
          </w:p>
        </w:tc>
        <w:tc>
          <w:tcPr>
            <w:tcW w:w="103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2BE508" w14:textId="5C0E109F" w:rsidR="00307123" w:rsidRPr="004F6820" w:rsidRDefault="00307123" w:rsidP="00307123">
            <w:pPr>
              <w:rPr>
                <w:b/>
                <w:bCs/>
              </w:rPr>
            </w:pPr>
            <w:r>
              <w:rPr>
                <w:color w:val="003867"/>
                <w:sz w:val="23"/>
                <w:szCs w:val="23"/>
              </w:rPr>
              <w:t>Zakończenie i rozdanie certyfikatów</w:t>
            </w:r>
          </w:p>
        </w:tc>
      </w:tr>
    </w:tbl>
    <w:p w14:paraId="71DD6BF4" w14:textId="49419699" w:rsidR="00FC4535" w:rsidRPr="00FC4535" w:rsidRDefault="00FC4535" w:rsidP="00FC4535">
      <w:pPr>
        <w:rPr>
          <w:b/>
          <w:bCs/>
        </w:rPr>
      </w:pPr>
    </w:p>
    <w:sectPr w:rsidR="00FC4535" w:rsidRPr="00FC4535" w:rsidSect="004F68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35"/>
    <w:rsid w:val="00307123"/>
    <w:rsid w:val="004F6820"/>
    <w:rsid w:val="00C014D4"/>
    <w:rsid w:val="00FC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9243"/>
  <w15:chartTrackingRefBased/>
  <w15:docId w15:val="{39EE051A-13BD-47BD-9CCB-CD723291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792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2</cp:revision>
  <dcterms:created xsi:type="dcterms:W3CDTF">2026-04-21T07:33:00Z</dcterms:created>
  <dcterms:modified xsi:type="dcterms:W3CDTF">2026-04-21T07:33:00Z</dcterms:modified>
</cp:coreProperties>
</file>