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94D0E">
      <w:pPr>
        <w:spacing w:after="0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  <w:r>
        <w:rPr>
          <w:b/>
          <w:bCs/>
          <w:sz w:val="36"/>
          <w:szCs w:val="36"/>
          <w:lang w:val="en-US"/>
        </w:rPr>
        <w:t xml:space="preserve">EACVI Teaching Course on </w:t>
      </w:r>
      <w:r>
        <w:rPr>
          <w:b/>
          <w:bCs/>
          <w:sz w:val="28"/>
          <w:szCs w:val="28"/>
          <w:lang w:val="en-US"/>
        </w:rPr>
        <w:br w:type="textWrapping"/>
      </w:r>
      <w:r>
        <w:rPr>
          <w:b/>
          <w:bCs/>
          <w:sz w:val="36"/>
          <w:szCs w:val="36"/>
          <w:lang w:val="en-US"/>
        </w:rPr>
        <w:t>Transoesophageal 2D and 3D Echocardiography</w:t>
      </w:r>
    </w:p>
    <w:p w14:paraId="0FD3473B">
      <w:pPr>
        <w:spacing w:after="0"/>
        <w:jc w:val="center"/>
        <w:rPr>
          <w:lang w:val="en-US"/>
        </w:rPr>
      </w:pPr>
      <w:r>
        <w:rPr>
          <w:lang w:val="en-US"/>
        </w:rPr>
        <w:t>23-24 October 2026, Cracow, Poland</w:t>
      </w:r>
    </w:p>
    <w:p w14:paraId="6AFD3D90">
      <w:pPr>
        <w:spacing w:after="0"/>
        <w:jc w:val="center"/>
        <w:rPr>
          <w:u w:val="single"/>
          <w:lang w:val="en-US"/>
        </w:rPr>
      </w:pPr>
      <w:r>
        <w:rPr>
          <w:u w:val="single"/>
          <w:lang w:val="en-US"/>
        </w:rPr>
        <w:t>Course Directors:</w:t>
      </w:r>
    </w:p>
    <w:p w14:paraId="77E3B426">
      <w:pPr>
        <w:spacing w:after="0"/>
        <w:jc w:val="center"/>
        <w:rPr>
          <w:lang w:val="en-US"/>
        </w:rPr>
      </w:pPr>
      <w:r>
        <w:rPr>
          <w:lang w:val="en-US"/>
        </w:rPr>
        <w:t>Nina Ajmone Marsan (NL), Ana Timoteo, (PT),</w:t>
      </w:r>
    </w:p>
    <w:p w14:paraId="102FA265">
      <w:pPr>
        <w:spacing w:after="0"/>
        <w:jc w:val="center"/>
        <w:rPr>
          <w:lang w:val="pl-PL"/>
        </w:rPr>
      </w:pPr>
      <w:r>
        <w:rPr>
          <w:lang w:val="pl-PL"/>
        </w:rPr>
        <w:t>Andrzej Gackowski (PL), Jarosław D. Kasprzak (PL)</w:t>
      </w:r>
    </w:p>
    <w:p w14:paraId="765BF768">
      <w:pPr>
        <w:rPr>
          <w:b/>
          <w:bCs/>
          <w:lang w:val="pl-PL"/>
        </w:rPr>
      </w:pPr>
    </w:p>
    <w:p w14:paraId="19C3606E">
      <w:pPr>
        <w:rPr>
          <w:lang w:val="en-US"/>
        </w:rPr>
      </w:pPr>
      <w:r>
        <w:rPr>
          <w:b/>
          <w:bCs/>
          <w:highlight w:val="lightGray"/>
          <w:lang w:val="en-US"/>
        </w:rPr>
        <w:t>Online pre-recorded sessions</w:t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 xml:space="preserve">              </w:t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 xml:space="preserve"> .</w:t>
      </w:r>
    </w:p>
    <w:p w14:paraId="6CF1B720">
      <w:pPr>
        <w:rPr>
          <w:i/>
          <w:iCs/>
          <w:lang w:val="en-US"/>
        </w:rPr>
      </w:pPr>
      <w:r>
        <w:rPr>
          <w:b/>
          <w:bCs/>
          <w:i/>
          <w:iCs/>
          <w:lang w:val="en-US"/>
        </w:rPr>
        <w:t>1.</w:t>
      </w:r>
      <w:r>
        <w:rPr>
          <w:i/>
          <w:iCs/>
          <w:lang w:val="en-US"/>
        </w:rPr>
        <w:t> </w:t>
      </w:r>
      <w:r>
        <w:rPr>
          <w:lang w:val="en-US"/>
        </w:rPr>
        <w:t xml:space="preserve">Recommendations on Transesophageal Echocardiography procedure,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reporting and main clinical indications (15 min)</w:t>
      </w:r>
      <w:r>
        <w:rPr>
          <w:lang w:val="en-US"/>
        </w:rPr>
        <w:tab/>
      </w:r>
      <w:r>
        <w:rPr>
          <w:lang w:val="en-US"/>
        </w:rPr>
        <w:t xml:space="preserve"> 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>– Bogdan Popescu</w:t>
      </w:r>
    </w:p>
    <w:p w14:paraId="1383C037">
      <w:pPr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  </w:t>
      </w:r>
    </w:p>
    <w:p w14:paraId="100B3F30">
      <w:pPr>
        <w:rPr>
          <w:i/>
          <w:iCs/>
          <w:lang w:val="en-US"/>
        </w:rPr>
      </w:pPr>
      <w:r>
        <w:rPr>
          <w:b/>
          <w:bCs/>
          <w:lang w:val="en-US"/>
        </w:rPr>
        <w:t>2.</w:t>
      </w:r>
      <w:r>
        <w:rPr>
          <w:lang w:val="en-US"/>
        </w:rPr>
        <w:t xml:space="preserve"> Standard Transoesophageal Echocardiographic views: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Image acquisition and optimization made simple (20 min)</w:t>
      </w:r>
      <w:r>
        <w:rPr>
          <w:lang w:val="en-US"/>
        </w:rPr>
        <w:tab/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i/>
          <w:iCs/>
          <w:lang w:val="en-US"/>
        </w:rPr>
        <w:t>– Ana Timoteo</w:t>
      </w:r>
    </w:p>
    <w:p w14:paraId="65BFDB04">
      <w:pPr>
        <w:rPr>
          <w:sz w:val="6"/>
          <w:szCs w:val="6"/>
          <w:lang w:val="en-US"/>
        </w:rPr>
      </w:pPr>
    </w:p>
    <w:p w14:paraId="6F82D6E2">
      <w:pPr>
        <w:rPr>
          <w:sz w:val="2"/>
          <w:szCs w:val="2"/>
          <w:lang w:val="en-US"/>
        </w:rPr>
      </w:pPr>
      <w:r>
        <w:rPr>
          <w:b/>
          <w:bCs/>
          <w:lang w:val="en-US"/>
        </w:rPr>
        <w:t>3.</w:t>
      </w:r>
      <w:r>
        <w:rPr>
          <w:lang w:val="en-US"/>
        </w:rPr>
        <w:t xml:space="preserve"> Getting Started with 4D TOE: Concepts, Tools, and Clinical Value (15 min)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>– Nina Ajmone Marsan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sz w:val="2"/>
          <w:szCs w:val="2"/>
          <w:lang w:val="en-US"/>
        </w:rPr>
        <w:t xml:space="preserve">   </w:t>
      </w:r>
    </w:p>
    <w:p w14:paraId="6455B2F3">
      <w:pPr>
        <w:rPr>
          <w:i/>
          <w:iCs/>
          <w:lang w:val="en-US"/>
        </w:rPr>
      </w:pPr>
      <w:r>
        <w:rPr>
          <w:b/>
          <w:bCs/>
          <w:lang w:val="en-US"/>
        </w:rPr>
        <w:t>4.</w:t>
      </w:r>
      <w:r>
        <w:rPr>
          <w:lang w:val="en-US"/>
        </w:rPr>
        <w:t> Mitral Valve Assessment by TOE: Anatomy, and Common Pathologies (25 min)</w:t>
      </w:r>
      <w:r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>– Philippe Bertrand</w:t>
      </w:r>
    </w:p>
    <w:p w14:paraId="0DE73726">
      <w:pPr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  </w:t>
      </w:r>
    </w:p>
    <w:p w14:paraId="46BEEE57">
      <w:pPr>
        <w:rPr>
          <w:i/>
          <w:iCs/>
          <w:lang w:val="en-US"/>
        </w:rPr>
      </w:pPr>
      <w:r>
        <w:rPr>
          <w:b/>
          <w:bCs/>
          <w:lang w:val="en-US"/>
        </w:rPr>
        <w:t>5.</w:t>
      </w:r>
      <w:r>
        <w:rPr>
          <w:lang w:val="en-US"/>
        </w:rPr>
        <w:t> Aortic Valve Assessment by TOE: From Normal Anatomy to Disease (25 min)</w:t>
      </w:r>
      <w:r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>– Victoria Delgado</w:t>
      </w:r>
    </w:p>
    <w:p w14:paraId="2CDDF194">
      <w:pPr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  </w:t>
      </w:r>
    </w:p>
    <w:p w14:paraId="25CA662F">
      <w:pPr>
        <w:rPr>
          <w:i/>
          <w:iCs/>
          <w:lang w:val="en-US"/>
        </w:rPr>
      </w:pPr>
      <w:r>
        <w:rPr>
          <w:b/>
          <w:bCs/>
          <w:lang w:val="en-US"/>
        </w:rPr>
        <w:t>6.</w:t>
      </w:r>
      <w:r>
        <w:rPr>
          <w:lang w:val="en-US"/>
        </w:rPr>
        <w:t xml:space="preserve"> Tricuspid Valve Assessment by TOE: Anatomy, Pathology, and Pitfalls (20 min) </w:t>
      </w:r>
      <w:r>
        <w:rPr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>– Denisa Muraru</w:t>
      </w:r>
    </w:p>
    <w:p w14:paraId="3A00D14D">
      <w:pPr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  </w:t>
      </w:r>
    </w:p>
    <w:p w14:paraId="60BEE619">
      <w:pPr>
        <w:rPr>
          <w:i/>
          <w:iCs/>
          <w:lang w:val="en-US"/>
        </w:rPr>
      </w:pPr>
      <w:r>
        <w:rPr>
          <w:b/>
          <w:bCs/>
          <w:lang w:val="en-US"/>
        </w:rPr>
        <w:t>7.</w:t>
      </w:r>
      <w:r>
        <w:rPr>
          <w:lang w:val="en-US"/>
        </w:rPr>
        <w:t xml:space="preserve"> Cardiac Masses and Sources of Embolism: A TOE-Based Approach (15 min)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>– Luna Gargani</w:t>
      </w:r>
    </w:p>
    <w:p w14:paraId="4DCCF447">
      <w:pPr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  </w:t>
      </w:r>
    </w:p>
    <w:p w14:paraId="168E42CC">
      <w:pPr>
        <w:rPr>
          <w:i/>
          <w:iCs/>
          <w:lang w:val="en-US"/>
        </w:rPr>
      </w:pPr>
      <w:r>
        <w:rPr>
          <w:b/>
          <w:bCs/>
          <w:lang w:val="en-US"/>
        </w:rPr>
        <w:t>8.</w:t>
      </w:r>
      <w:r>
        <w:rPr>
          <w:lang w:val="en-US"/>
        </w:rPr>
        <w:t> Infective Endocarditis: What TOE Reveals and Why It Matters? (15 min)</w:t>
      </w:r>
      <w:r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>– Bernard Cosyns</w:t>
      </w:r>
    </w:p>
    <w:p w14:paraId="658F7AF4">
      <w:pPr>
        <w:rPr>
          <w:i/>
          <w:iCs/>
          <w:lang w:val="en-US"/>
        </w:rPr>
      </w:pPr>
    </w:p>
    <w:p w14:paraId="11CC8F64">
      <w:pPr>
        <w:rPr>
          <w:b/>
          <w:bCs/>
          <w:lang w:val="en-US"/>
        </w:rPr>
      </w:pPr>
      <w:r>
        <w:rPr>
          <w:b/>
          <w:bCs/>
          <w:highlight w:val="lightGray"/>
          <w:lang w:val="en-US"/>
        </w:rPr>
        <w:t>Hands-on Sessions (3 groups rotation)</w:t>
      </w:r>
    </w:p>
    <w:p w14:paraId="6FA5BB61">
      <w:pPr>
        <w:rPr>
          <w:lang w:val="pl-PL"/>
        </w:rPr>
      </w:pPr>
      <w:r>
        <w:rPr>
          <w:b/>
          <w:bCs/>
          <w:lang w:val="pl-PL"/>
        </w:rPr>
        <w:t>Room A</w:t>
      </w:r>
      <w:r>
        <w:rPr>
          <w:lang w:val="pl-PL"/>
        </w:rPr>
        <w:t xml:space="preserve"> - MST TOE Simulators </w:t>
      </w:r>
      <w:r>
        <w:rPr>
          <w:lang w:val="pl-PL"/>
        </w:rPr>
        <w:tab/>
      </w:r>
      <w:r>
        <w:rPr>
          <w:lang w:val="pl-PL"/>
        </w:rPr>
        <w:t xml:space="preserve">– Andrzej Gackowski, Nina Ajmone Marsan, 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 xml:space="preserve">    Karolina Golińska-Grzybała, Maciej Stąpór</w:t>
      </w:r>
    </w:p>
    <w:p w14:paraId="44126017">
      <w:pPr>
        <w:rPr>
          <w:lang w:val="en-US"/>
        </w:rPr>
      </w:pPr>
      <w:r>
        <w:rPr>
          <w:b/>
          <w:bCs/>
          <w:lang w:val="en-US"/>
        </w:rPr>
        <w:t>Room B</w:t>
      </w:r>
      <w:r>
        <w:rPr>
          <w:lang w:val="en-US"/>
        </w:rPr>
        <w:t xml:space="preserve"> - GE workstations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– Ana Timoteo, Bogdan Popescu, Jarosław D. Kasprzak</w:t>
      </w:r>
    </w:p>
    <w:p w14:paraId="0FFD22E8">
      <w:pPr>
        <w:rPr>
          <w:lang w:val="en-US"/>
        </w:rPr>
      </w:pPr>
      <w:r>
        <w:rPr>
          <w:b/>
          <w:bCs/>
          <w:lang w:val="en-US"/>
        </w:rPr>
        <w:t>Room C</w:t>
      </w:r>
      <w:r>
        <w:rPr>
          <w:lang w:val="en-US"/>
        </w:rPr>
        <w:t xml:space="preserve"> - Philips workstations </w:t>
      </w:r>
      <w:r>
        <w:rPr>
          <w:lang w:val="en-US"/>
        </w:rPr>
        <w:tab/>
      </w:r>
      <w:r>
        <w:rPr>
          <w:lang w:val="en-US"/>
        </w:rPr>
        <w:t>– Magdalena Gurzun, Anna Leo, Piotr Scisło</w:t>
      </w:r>
    </w:p>
    <w:p w14:paraId="01B2D099">
      <w:pPr>
        <w:rPr>
          <w:b/>
          <w:bCs/>
          <w:lang w:val="en-US"/>
        </w:rPr>
      </w:pPr>
      <w:r>
        <w:rPr>
          <w:b/>
          <w:bCs/>
          <w:lang w:val="en-US"/>
        </w:rPr>
        <w:t>Course agenda</w:t>
      </w:r>
    </w:p>
    <w:p w14:paraId="5CC07BDE">
      <w:pPr>
        <w:rPr>
          <w:b/>
          <w:bCs/>
          <w:lang w:val="en-US"/>
        </w:rPr>
      </w:pPr>
      <w:r>
        <w:rPr>
          <w:b/>
          <w:bCs/>
          <w:highlight w:val="lightGray"/>
          <w:lang w:val="en-US"/>
        </w:rPr>
        <w:t xml:space="preserve">FRIDAY </w:t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 xml:space="preserve"> </w:t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 xml:space="preserve">        </w:t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>Oct 23rd</w:t>
      </w:r>
    </w:p>
    <w:p w14:paraId="5F5CE4CA">
      <w:pPr>
        <w:rPr>
          <w:lang w:val="en-US"/>
        </w:rPr>
      </w:pPr>
      <w:r>
        <w:rPr>
          <w:lang w:val="en-US"/>
        </w:rPr>
        <w:t>8.30-9.00 Registration (online registration preferred) </w:t>
      </w:r>
    </w:p>
    <w:p w14:paraId="46155EB7">
      <w:pPr>
        <w:rPr>
          <w:b/>
          <w:bCs/>
          <w:lang w:val="en-US"/>
        </w:rPr>
      </w:pPr>
      <w:r>
        <w:rPr>
          <w:b/>
          <w:bCs/>
          <w:lang w:val="en-US"/>
        </w:rPr>
        <w:t>9:00 – 9:15 Welcome introduction</w:t>
      </w:r>
    </w:p>
    <w:p w14:paraId="31C1259B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9:15-10:30 - Lecture block 1 </w:t>
      </w:r>
    </w:p>
    <w:p w14:paraId="1CDEB5B5">
      <w:pPr>
        <w:pStyle w:val="31"/>
        <w:numPr>
          <w:ilvl w:val="0"/>
          <w:numId w:val="1"/>
        </w:numPr>
        <w:ind w:left="426" w:hanging="284"/>
        <w:rPr>
          <w:lang w:val="en-US"/>
        </w:rPr>
      </w:pPr>
      <w:r>
        <w:rPr>
          <w:lang w:val="en-US"/>
        </w:rPr>
        <w:t xml:space="preserve">TOE for the anesthesiologist: from the operating theater to the intensive care (20 min)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– Lech Paluszkiewicz</w:t>
      </w:r>
    </w:p>
    <w:p w14:paraId="26EDA0BF">
      <w:pPr>
        <w:pStyle w:val="31"/>
        <w:numPr>
          <w:ilvl w:val="0"/>
          <w:numId w:val="1"/>
        </w:numPr>
        <w:ind w:left="426" w:hanging="284"/>
        <w:rPr>
          <w:lang w:val="en-US"/>
        </w:rPr>
      </w:pPr>
      <w:r>
        <w:rPr>
          <w:lang w:val="en-US"/>
        </w:rPr>
        <w:t xml:space="preserve">Advanced assessment of mitral regurgitation, MV-TEER and TMVR (20 min)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– Nina Ajmone Marsan</w:t>
      </w:r>
    </w:p>
    <w:p w14:paraId="053C7783">
      <w:pPr>
        <w:pStyle w:val="31"/>
        <w:numPr>
          <w:ilvl w:val="0"/>
          <w:numId w:val="1"/>
        </w:numPr>
        <w:ind w:left="426" w:hanging="284"/>
        <w:rPr>
          <w:lang w:val="en-US"/>
        </w:rPr>
      </w:pPr>
      <w:r>
        <w:rPr>
          <w:lang w:val="en-US"/>
        </w:rPr>
        <w:t>Advanced assessment of aortic valve pathology (20 min)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– Magdalena Gurzun</w:t>
      </w:r>
    </w:p>
    <w:p w14:paraId="38150BA3">
      <w:pPr>
        <w:pStyle w:val="31"/>
        <w:numPr>
          <w:ilvl w:val="0"/>
          <w:numId w:val="1"/>
        </w:numPr>
        <w:ind w:left="426" w:hanging="284"/>
        <w:rPr>
          <w:lang w:val="en-US"/>
        </w:rPr>
      </w:pPr>
      <w:r>
        <w:rPr>
          <w:lang w:val="en-US"/>
        </w:rPr>
        <w:t>Discussion and Q&amp;A (15 min)</w:t>
      </w:r>
    </w:p>
    <w:p w14:paraId="5133503C">
      <w:pPr>
        <w:rPr>
          <w:lang w:val="en-US"/>
        </w:rPr>
      </w:pPr>
      <w:r>
        <w:rPr>
          <w:lang w:val="en-US"/>
        </w:rPr>
        <w:t>10:30 -11.00 - Coffee break</w:t>
      </w:r>
    </w:p>
    <w:p w14:paraId="2DDAA0E8">
      <w:pPr>
        <w:rPr>
          <w:b/>
          <w:bCs/>
          <w:lang w:val="en-US"/>
        </w:rPr>
      </w:pPr>
      <w:r>
        <w:rPr>
          <w:b/>
          <w:bCs/>
          <w:lang w:val="en-US"/>
        </w:rPr>
        <w:t>11:00-12:00 - Lecture block 2</w:t>
      </w:r>
    </w:p>
    <w:p w14:paraId="625D7343">
      <w:pPr>
        <w:pStyle w:val="31"/>
        <w:numPr>
          <w:ilvl w:val="0"/>
          <w:numId w:val="2"/>
        </w:numPr>
        <w:ind w:left="426" w:hanging="284"/>
        <w:rPr>
          <w:lang w:val="en-US"/>
        </w:rPr>
      </w:pPr>
      <w:r>
        <w:rPr>
          <w:lang w:val="en-US"/>
        </w:rPr>
        <w:t xml:space="preserve">Assessment of tricuspid valve, TV-TEER and TTVR (20 min)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– Andrzej Gackowski</w:t>
      </w:r>
    </w:p>
    <w:p w14:paraId="62797BBA">
      <w:pPr>
        <w:pStyle w:val="31"/>
        <w:numPr>
          <w:ilvl w:val="0"/>
          <w:numId w:val="2"/>
        </w:numPr>
        <w:ind w:left="426" w:hanging="284"/>
        <w:rPr>
          <w:lang w:val="en-US"/>
        </w:rPr>
      </w:pPr>
      <w:r>
        <w:rPr>
          <w:lang w:val="en-US"/>
        </w:rPr>
        <w:t xml:space="preserve">Examination of valvular prosthesis and paravalvular leaks (15 min) </w:t>
      </w:r>
      <w:r>
        <w:rPr>
          <w:lang w:val="en-US"/>
        </w:rPr>
        <w:tab/>
      </w:r>
      <w:r>
        <w:rPr>
          <w:lang w:val="en-US"/>
        </w:rPr>
        <w:t>– Ana Timoteo</w:t>
      </w:r>
    </w:p>
    <w:p w14:paraId="698C773E">
      <w:pPr>
        <w:pStyle w:val="31"/>
        <w:numPr>
          <w:ilvl w:val="0"/>
          <w:numId w:val="2"/>
        </w:numPr>
        <w:ind w:left="426" w:hanging="284"/>
        <w:rPr>
          <w:lang w:val="en-US"/>
        </w:rPr>
      </w:pPr>
      <w:r>
        <w:rPr>
          <w:lang w:val="en-US"/>
        </w:rPr>
        <w:t xml:space="preserve">ASD/PFO and LAA closure (15 min)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– Jaroslaw D Kasprzak</w:t>
      </w:r>
    </w:p>
    <w:p w14:paraId="4CC77C36">
      <w:pPr>
        <w:pStyle w:val="31"/>
        <w:numPr>
          <w:ilvl w:val="0"/>
          <w:numId w:val="2"/>
        </w:numPr>
        <w:ind w:left="426" w:hanging="284"/>
        <w:rPr>
          <w:lang w:val="en-US"/>
        </w:rPr>
      </w:pPr>
      <w:r>
        <w:rPr>
          <w:lang w:val="en-US"/>
        </w:rPr>
        <w:t>Discussion and Q&amp;A (10 min)</w:t>
      </w:r>
    </w:p>
    <w:p w14:paraId="3223D3DD">
      <w:pPr>
        <w:rPr>
          <w:b/>
          <w:bCs/>
          <w:lang w:val="en-US"/>
        </w:rPr>
      </w:pPr>
      <w:r>
        <w:rPr>
          <w:b/>
          <w:bCs/>
          <w:lang w:val="en-US"/>
        </w:rPr>
        <w:t>12:00 – 12:30 – I</w:t>
      </w:r>
      <w:r>
        <w:rPr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ndustry symposium TBD</w:t>
      </w:r>
    </w:p>
    <w:p w14:paraId="6E605284">
      <w:pPr>
        <w:rPr>
          <w:lang w:val="en-US"/>
        </w:rPr>
      </w:pPr>
      <w:r>
        <w:rPr>
          <w:lang w:val="en-US"/>
        </w:rPr>
        <w:t>12:30-13:30 – Lunch break</w:t>
      </w:r>
    </w:p>
    <w:p w14:paraId="45726F33">
      <w:pPr>
        <w:rPr>
          <w:b/>
          <w:bCs/>
          <w:lang w:val="en-US"/>
        </w:rPr>
      </w:pPr>
      <w:r>
        <w:rPr>
          <w:b/>
          <w:bCs/>
          <w:lang w:val="en-US"/>
        </w:rPr>
        <w:t>13:30 – 15:00 Show me the cases</w:t>
      </w:r>
      <w:r>
        <w:rPr>
          <w:lang w:val="en-US"/>
        </w:rPr>
        <w:t xml:space="preserve"> </w:t>
      </w:r>
      <w:r>
        <w:rPr>
          <w:lang w:val="en-US"/>
        </w:rPr>
        <w:br w:type="textWrapping"/>
      </w:r>
      <w:r>
        <w:rPr>
          <w:lang w:val="en-US"/>
        </w:rPr>
        <w:t xml:space="preserve">                  </w:t>
      </w:r>
      <w:r>
        <w:rPr>
          <w:lang w:val="en-US"/>
        </w:rPr>
        <w:tab/>
      </w:r>
      <w:r>
        <w:rPr>
          <w:lang w:val="en-US"/>
        </w:rPr>
        <w:t>(10 cases from the faculty, discussion)</w:t>
      </w:r>
    </w:p>
    <w:p w14:paraId="7001225D">
      <w:pPr>
        <w:rPr>
          <w:color w:val="EE0000"/>
          <w:lang w:val="en-US"/>
        </w:rPr>
      </w:pPr>
      <w:r>
        <w:rPr>
          <w:b/>
          <w:bCs/>
          <w:lang w:val="en-US"/>
        </w:rPr>
        <w:t>15:00-16:00</w: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b/>
          <w:bCs/>
          <w:lang w:val="en-US"/>
        </w:rPr>
        <w:t>Quiz.</w:t>
      </w:r>
      <w:r>
        <w:rPr>
          <w:lang w:val="en-US"/>
        </w:rPr>
        <w:t xml:space="preserve"> </w:t>
      </w:r>
    </w:p>
    <w:p w14:paraId="07673D93">
      <w:pPr>
        <w:rPr>
          <w:b/>
          <w:bCs/>
          <w:lang w:val="en-US"/>
        </w:rPr>
      </w:pPr>
      <w:r>
        <w:rPr>
          <w:b/>
          <w:bCs/>
          <w:lang w:val="en-US"/>
        </w:rPr>
        <w:t>16:30-18:30 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>Hands-on Sessions 1 (Rooms A, B, C)</w:t>
      </w:r>
    </w:p>
    <w:p w14:paraId="4651AB90">
      <w:pPr>
        <w:rPr>
          <w:b/>
          <w:bCs/>
          <w:lang w:val="en-US"/>
        </w:rPr>
      </w:pPr>
    </w:p>
    <w:p w14:paraId="1F48A006">
      <w:pPr>
        <w:rPr>
          <w:b/>
          <w:bCs/>
          <w:lang w:val="en-US"/>
        </w:rPr>
      </w:pPr>
      <w:r>
        <w:rPr>
          <w:b/>
          <w:bCs/>
          <w:highlight w:val="lightGray"/>
          <w:lang w:val="en-US"/>
        </w:rPr>
        <w:t>SATURDAY</w:t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 xml:space="preserve">      </w:t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ab/>
      </w:r>
      <w:r>
        <w:rPr>
          <w:b/>
          <w:bCs/>
          <w:highlight w:val="lightGray"/>
          <w:lang w:val="en-US"/>
        </w:rPr>
        <w:t>Oct. 24th</w:t>
      </w:r>
    </w:p>
    <w:p w14:paraId="402FC4AC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8.30-10.30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>Hands-on sessions 2 (Rooms A, B, C)</w:t>
      </w:r>
    </w:p>
    <w:p w14:paraId="467560E9">
      <w:pPr>
        <w:rPr>
          <w:lang w:val="en-US"/>
        </w:rPr>
      </w:pPr>
      <w:r>
        <w:rPr>
          <w:lang w:val="en-US"/>
        </w:rPr>
        <w:t xml:space="preserve">10:30-11:00 </w:t>
      </w:r>
      <w:r>
        <w:rPr>
          <w:lang w:val="en-US"/>
        </w:rPr>
        <w:tab/>
      </w:r>
      <w:r>
        <w:rPr>
          <w:lang w:val="en-US"/>
        </w:rPr>
        <w:t>Coffee break</w:t>
      </w:r>
    </w:p>
    <w:p w14:paraId="0398C0B2">
      <w:pPr>
        <w:rPr>
          <w:lang w:val="en-US"/>
        </w:rPr>
      </w:pPr>
      <w:r>
        <w:rPr>
          <w:b/>
          <w:bCs/>
          <w:lang w:val="en-US"/>
        </w:rPr>
        <w:t xml:space="preserve">11.00-13.00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>Hands-on sessions 3 (Rooms A, B, C)</w:t>
      </w:r>
    </w:p>
    <w:p w14:paraId="05EC017E">
      <w:pP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>13:00</w:t>
      </w: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Course summary and evaluation </w:t>
      </w:r>
    </w:p>
    <w:p w14:paraId="023EF2BA">
      <w:pPr>
        <w:ind w:left="708" w:firstLine="708"/>
        <w:rPr>
          <w:lang w:val="en-US"/>
        </w:rPr>
      </w:pPr>
      <w:r>
        <w:rPr>
          <w:lang w:val="en-US"/>
        </w:rPr>
        <w:t>Lunch boxes, farewell</w:t>
      </w:r>
    </w:p>
    <w:sectPr>
      <w:pgSz w:w="11906" w:h="16838"/>
      <w:pgMar w:top="1417" w:right="707" w:bottom="0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9E6061"/>
    <w:multiLevelType w:val="multilevel"/>
    <w:tmpl w:val="049E6061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nsid w:val="0B0614B5"/>
    <w:multiLevelType w:val="multilevel"/>
    <w:tmpl w:val="0B0614B5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DC"/>
    <w:rsid w:val="00011BCF"/>
    <w:rsid w:val="00043E41"/>
    <w:rsid w:val="0005283B"/>
    <w:rsid w:val="000905F5"/>
    <w:rsid w:val="000A0ED5"/>
    <w:rsid w:val="000E3EE8"/>
    <w:rsid w:val="000E4860"/>
    <w:rsid w:val="000F5C35"/>
    <w:rsid w:val="00110000"/>
    <w:rsid w:val="00110EA2"/>
    <w:rsid w:val="0011655D"/>
    <w:rsid w:val="00190D9F"/>
    <w:rsid w:val="00194BD6"/>
    <w:rsid w:val="001A07B8"/>
    <w:rsid w:val="001C6A00"/>
    <w:rsid w:val="001E3CFE"/>
    <w:rsid w:val="00203A72"/>
    <w:rsid w:val="00204635"/>
    <w:rsid w:val="00220033"/>
    <w:rsid w:val="00237904"/>
    <w:rsid w:val="00241E50"/>
    <w:rsid w:val="002640BF"/>
    <w:rsid w:val="00292C3B"/>
    <w:rsid w:val="002A5803"/>
    <w:rsid w:val="002B3154"/>
    <w:rsid w:val="002C57AF"/>
    <w:rsid w:val="002E2CB5"/>
    <w:rsid w:val="003116B1"/>
    <w:rsid w:val="00317154"/>
    <w:rsid w:val="003708C2"/>
    <w:rsid w:val="003917D7"/>
    <w:rsid w:val="003A137A"/>
    <w:rsid w:val="003A2409"/>
    <w:rsid w:val="003B5795"/>
    <w:rsid w:val="003C227C"/>
    <w:rsid w:val="003C56A1"/>
    <w:rsid w:val="003D294F"/>
    <w:rsid w:val="003E3553"/>
    <w:rsid w:val="003E701E"/>
    <w:rsid w:val="00431328"/>
    <w:rsid w:val="004359F3"/>
    <w:rsid w:val="00437B55"/>
    <w:rsid w:val="00445E06"/>
    <w:rsid w:val="00446DEE"/>
    <w:rsid w:val="004621CE"/>
    <w:rsid w:val="004821BA"/>
    <w:rsid w:val="004938C1"/>
    <w:rsid w:val="004A7D93"/>
    <w:rsid w:val="004C5595"/>
    <w:rsid w:val="005072CB"/>
    <w:rsid w:val="00513E9D"/>
    <w:rsid w:val="0054130E"/>
    <w:rsid w:val="00566B7F"/>
    <w:rsid w:val="005B499E"/>
    <w:rsid w:val="005D1B57"/>
    <w:rsid w:val="00610E7F"/>
    <w:rsid w:val="006618BB"/>
    <w:rsid w:val="00676E68"/>
    <w:rsid w:val="0068263B"/>
    <w:rsid w:val="006A09CB"/>
    <w:rsid w:val="006A4F12"/>
    <w:rsid w:val="006B1B00"/>
    <w:rsid w:val="006C0AAB"/>
    <w:rsid w:val="006C53A6"/>
    <w:rsid w:val="006D0489"/>
    <w:rsid w:val="00721D6C"/>
    <w:rsid w:val="00740D32"/>
    <w:rsid w:val="007535DC"/>
    <w:rsid w:val="00755927"/>
    <w:rsid w:val="00773F76"/>
    <w:rsid w:val="007978FD"/>
    <w:rsid w:val="007B7057"/>
    <w:rsid w:val="007D2FF2"/>
    <w:rsid w:val="0081678D"/>
    <w:rsid w:val="00817C2A"/>
    <w:rsid w:val="008625CA"/>
    <w:rsid w:val="00875AF6"/>
    <w:rsid w:val="00895CEC"/>
    <w:rsid w:val="008A325F"/>
    <w:rsid w:val="008B237A"/>
    <w:rsid w:val="008B44AC"/>
    <w:rsid w:val="008E2BAB"/>
    <w:rsid w:val="008F0797"/>
    <w:rsid w:val="00945CE4"/>
    <w:rsid w:val="00960A1C"/>
    <w:rsid w:val="009929B8"/>
    <w:rsid w:val="009B3D59"/>
    <w:rsid w:val="009F7964"/>
    <w:rsid w:val="00A0380D"/>
    <w:rsid w:val="00A67E8A"/>
    <w:rsid w:val="00A71F25"/>
    <w:rsid w:val="00AE6CC5"/>
    <w:rsid w:val="00B06BFA"/>
    <w:rsid w:val="00B43BAE"/>
    <w:rsid w:val="00B7108D"/>
    <w:rsid w:val="00BC23D4"/>
    <w:rsid w:val="00C173BE"/>
    <w:rsid w:val="00C21E9B"/>
    <w:rsid w:val="00C60B14"/>
    <w:rsid w:val="00CF297F"/>
    <w:rsid w:val="00D169C2"/>
    <w:rsid w:val="00D21C0E"/>
    <w:rsid w:val="00D3671E"/>
    <w:rsid w:val="00D5485B"/>
    <w:rsid w:val="00DA2170"/>
    <w:rsid w:val="00DB559A"/>
    <w:rsid w:val="00DC78D9"/>
    <w:rsid w:val="00E30510"/>
    <w:rsid w:val="00E870E6"/>
    <w:rsid w:val="00EA38DE"/>
    <w:rsid w:val="00EB1CF8"/>
    <w:rsid w:val="00EC0155"/>
    <w:rsid w:val="00EC59E1"/>
    <w:rsid w:val="00ED07D0"/>
    <w:rsid w:val="00EE2489"/>
    <w:rsid w:val="00F52826"/>
    <w:rsid w:val="00F8369F"/>
    <w:rsid w:val="00FC6D38"/>
    <w:rsid w:val="00FC7176"/>
    <w:rsid w:val="00FD4759"/>
    <w:rsid w:val="5315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t-PT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4">
    <w:name w:val="annotation text"/>
    <w:basedOn w:val="1"/>
    <w:link w:val="36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5">
    <w:name w:val="annotation subject"/>
    <w:basedOn w:val="14"/>
    <w:next w:val="14"/>
    <w:link w:val="37"/>
    <w:semiHidden/>
    <w:unhideWhenUsed/>
    <w:qFormat/>
    <w:uiPriority w:val="99"/>
    <w:rPr>
      <w:b/>
      <w:bCs/>
    </w:rPr>
  </w:style>
  <w:style w:type="paragraph" w:styleId="16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Nagłówek 3 Znak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Nagłówek 5 Znak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ytuł Znak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Podtytuł Znak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ytat Znak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Cytat intensywny Znak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Tekst komentarza Znak"/>
    <w:basedOn w:val="11"/>
    <w:link w:val="14"/>
    <w:qFormat/>
    <w:uiPriority w:val="99"/>
    <w:rPr>
      <w:sz w:val="20"/>
      <w:szCs w:val="20"/>
    </w:rPr>
  </w:style>
  <w:style w:type="character" w:customStyle="1" w:styleId="37">
    <w:name w:val="Temat komentarza Znak"/>
    <w:basedOn w:val="36"/>
    <w:link w:val="15"/>
    <w:semiHidden/>
    <w:qFormat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398</Words>
  <Characters>2392</Characters>
  <Lines>19</Lines>
  <Paragraphs>5</Paragraphs>
  <TotalTime>1</TotalTime>
  <ScaleCrop>false</ScaleCrop>
  <LinksUpToDate>false</LinksUpToDate>
  <CharactersWithSpaces>2785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2026-07-07T20:41:00Z</dcterms:created>
  <dc:creator>Ana Timóteo</dc:creator>
  <cp:lastModifiedBy>WPS_1639412219</cp:lastModifiedBy>
  <dcterms:modified xsi:type="dcterms:W3CDTF">2026-09-29T20:51:15Z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B01DA6BE206C4F1E8B75E0BF65481B4C_13</vt:lpwstr>
  </property>
</Properties>
</file>