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D9635" w14:textId="15F8BBF2" w:rsidR="00624196" w:rsidRPr="00624196" w:rsidRDefault="00624196" w:rsidP="00624196">
      <w:pPr>
        <w:shd w:val="clear" w:color="auto" w:fill="F9F9F9"/>
        <w:spacing w:after="450" w:line="240" w:lineRule="auto"/>
        <w:outlineLvl w:val="0"/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50"/>
          <w:szCs w:val="50"/>
          <w:lang w:eastAsia="pl-PL"/>
          <w14:ligatures w14:val="none"/>
        </w:rPr>
      </w:pPr>
      <w:r w:rsidRPr="00624196"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50"/>
          <w:szCs w:val="50"/>
          <w:lang w:eastAsia="pl-PL"/>
          <w14:ligatures w14:val="none"/>
        </w:rPr>
        <w:t>Krwawienia z górnego odcinka przewodu pokarmowego</w:t>
      </w:r>
    </w:p>
    <w:p w14:paraId="08786259" w14:textId="77777777" w:rsidR="00624196" w:rsidRPr="00624196" w:rsidRDefault="00624196" w:rsidP="0062419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624196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Miejsce Kursu: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Kampus Banacha, ul. Żwirki i Wigury 61, Warszawa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Dokładne miejsce będzie podane później.</w:t>
      </w:r>
    </w:p>
    <w:p w14:paraId="0D61A3D0" w14:textId="77777777" w:rsidR="00624196" w:rsidRPr="00624196" w:rsidRDefault="00624196" w:rsidP="0062419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624196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Wykładowcy:</w:t>
      </w:r>
    </w:p>
    <w:p w14:paraId="75D60DDE" w14:textId="77777777" w:rsidR="00624196" w:rsidRPr="00624196" w:rsidRDefault="00624196" w:rsidP="0062419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Kierownik naukowa: dr Anna Mackiewicz-Pracka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Prowadzący: dr Anna Mackiewicz-Pracka, dr Michał Pracki</w:t>
      </w:r>
    </w:p>
    <w:p w14:paraId="2FDEFD67" w14:textId="77777777" w:rsidR="00624196" w:rsidRPr="00624196" w:rsidRDefault="00624196" w:rsidP="0062419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Uczestnicy kursu otrzymują punkty edukacyjne i certyfikat.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Szkolenie zgłoszone do Infarma oraz SOWE.</w:t>
      </w:r>
    </w:p>
    <w:p w14:paraId="18AC26B9" w14:textId="77777777" w:rsidR="00624196" w:rsidRPr="00624196" w:rsidRDefault="00624196" w:rsidP="0062419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Endoskopowe zaopatrywanie krwawień z przewodu pokarmowego jest jedną z podstawowych umiejętności, którą powinien opanować każdy endoskopista. Nasz kurs kierowany jest do lekarzy rozpoczynających swoje szkolenie endoskopowe oraz endoskopistów praktykujących, chcących podszkolić swoje umiejętności w hemostazie osiąganej metodami endoskopowymi. Oferujemy unikatową możliwość ćwiczeń na realistycznych modelach i fantomach oraz symulatorach oferujących różne scenariusze kliniczne.</w:t>
      </w:r>
    </w:p>
    <w:p w14:paraId="1F563391" w14:textId="77777777" w:rsidR="00624196" w:rsidRPr="00624196" w:rsidRDefault="00624196" w:rsidP="0062419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W trakcie trwania szkolenia będą przedstawione i ćwiczone metody endoskopowego opanowania krwawienia:</w:t>
      </w:r>
    </w:p>
    <w:p w14:paraId="49050988" w14:textId="77777777" w:rsidR="00624196" w:rsidRPr="00624196" w:rsidRDefault="00624196" w:rsidP="0062419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624196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nieżylakowego – ostrzykiwanie, klipsowanie, koagulowanie, proszek hemostatyczny</w:t>
      </w:r>
    </w:p>
    <w:p w14:paraId="614B87A9" w14:textId="77777777" w:rsidR="00624196" w:rsidRPr="00624196" w:rsidRDefault="00624196" w:rsidP="0062419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624196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żylakowego – ostrzykiwanie, opaskowanie</w:t>
      </w:r>
    </w:p>
    <w:p w14:paraId="29A055C2" w14:textId="77777777" w:rsidR="00624196" w:rsidRPr="00624196" w:rsidRDefault="00624196" w:rsidP="0062419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624196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Program</w:t>
      </w:r>
    </w:p>
    <w:p w14:paraId="0706B485" w14:textId="7FA89DED" w:rsidR="00624196" w:rsidRPr="00624196" w:rsidRDefault="00624196" w:rsidP="00624196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8:30-9:00     Rejestracja uczestników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9:00-9:15      Rozpoczęcie kursu i przywitanie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9:15-9:45      Wprowadzenie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9:45-10:00   Postępowanie z pacjentem z krwawieniem z GOPP, w tym modyfikacja leczenia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przeciwzakrzepowego i antyagregacyjnego oraz przygotowanie tego chorego do endoskopii.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10:00-10:15  Możliwe powikłania i niepowodzenia w trakcie interwencji endoskopowej. Krwawienia nie-żylakowe – demonstracja eksperta na modelu szkoleniowym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10:15-10:30  Przerwa kawowa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10:30-13:00  Ćwiczenia praktyczne na stacjach. Postępowanie z pacjentem po leczeniu endoskopowym krwawienia z GOPP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13:00-13:30  Przerwa obiadowa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13:</w:t>
      </w:r>
      <w:r w:rsidR="00825BDA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3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0-16:30  Ćwiczenia praktyczne – ciąg dalszy</w:t>
      </w: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16:30-17:00  Podsumowanie szkolenia, wręczenie certyfikatów, zakończenie kursu.</w:t>
      </w:r>
    </w:p>
    <w:p w14:paraId="2747F8E8" w14:textId="77777777" w:rsidR="00624196" w:rsidRPr="00624196" w:rsidRDefault="00624196" w:rsidP="00624196">
      <w:pPr>
        <w:shd w:val="clear" w:color="auto" w:fill="F9F9F9"/>
        <w:spacing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624196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Uczestnicy ćwiczą w małych 3-4 osobowych grupach na fantomach i świńskich żołądkach.</w:t>
      </w:r>
    </w:p>
    <w:p w14:paraId="5DE4176D" w14:textId="77777777" w:rsidR="00457AF0" w:rsidRDefault="00457AF0"/>
    <w:sectPr w:rsidR="0045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30212"/>
    <w:multiLevelType w:val="multilevel"/>
    <w:tmpl w:val="165C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67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96"/>
    <w:rsid w:val="00457AF0"/>
    <w:rsid w:val="0051238B"/>
    <w:rsid w:val="00624196"/>
    <w:rsid w:val="00825BDA"/>
    <w:rsid w:val="00C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C8D6"/>
  <w15:chartTrackingRefBased/>
  <w15:docId w15:val="{4E04A698-E191-4704-80AE-5D567E20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2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624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19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24196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fusion-button-text">
    <w:name w:val="fusion-button-text"/>
    <w:basedOn w:val="Domylnaczcionkaakapitu"/>
    <w:rsid w:val="00624196"/>
  </w:style>
  <w:style w:type="paragraph" w:styleId="NormalnyWeb">
    <w:name w:val="Normal (Web)"/>
    <w:basedOn w:val="Normalny"/>
    <w:uiPriority w:val="99"/>
    <w:semiHidden/>
    <w:unhideWhenUsed/>
    <w:rsid w:val="0062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24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1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2023-11-02T08:36:00Z</dcterms:created>
  <dcterms:modified xsi:type="dcterms:W3CDTF">2024-06-19T07:55:00Z</dcterms:modified>
</cp:coreProperties>
</file>