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F22D" w14:textId="745086DB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8"/>
          <w:szCs w:val="28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b/>
          <w:bCs/>
          <w:i/>
          <w:iCs/>
          <w:color w:val="0070C0"/>
          <w:kern w:val="0"/>
          <w:sz w:val="28"/>
          <w:szCs w:val="28"/>
          <w:lang w:eastAsia="pl-PL"/>
          <w14:ligatures w14:val="none"/>
        </w:rPr>
        <w:t>Warsztaty leczenia bólu</w:t>
      </w:r>
    </w:p>
    <w:p w14:paraId="6EFA98AB" w14:textId="055869C9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Współorganizatorem warsztatów są</w:t>
      </w:r>
    </w:p>
    <w:p w14:paraId="1EBFCFDC" w14:textId="77777777" w:rsidR="00ED0D2B" w:rsidRPr="00ED0D2B" w:rsidRDefault="00ED0D2B" w:rsidP="00ED0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 Klinika Anestezjologii i Intensywnej Terapii WUM</w:t>
      </w:r>
    </w:p>
    <w:p w14:paraId="3F95E897" w14:textId="77777777" w:rsidR="00ED0D2B" w:rsidRPr="00ED0D2B" w:rsidRDefault="00ED0D2B" w:rsidP="00ED0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Zakład Nauczania Anestezjologii i Intensywnej Terapii WUM</w:t>
      </w:r>
    </w:p>
    <w:p w14:paraId="7508AF23" w14:textId="77777777" w:rsidR="00ED0D2B" w:rsidRPr="00ED0D2B" w:rsidRDefault="00ED0D2B" w:rsidP="00ED0D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Sekcja Interwencyjna Polskiego Towarzystwa Badania Bólu</w:t>
      </w:r>
    </w:p>
    <w:p w14:paraId="6933BA16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Miejsce Kursu:</w:t>
      </w: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Centrum Symulacji Medycznych WUM</w:t>
      </w: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ul. Pawińskiego 3a, na terenie Kampusu Banacha</w:t>
      </w: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Warszawa</w:t>
      </w:r>
    </w:p>
    <w:p w14:paraId="0076DF3F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Wykładowcy:</w:t>
      </w:r>
    </w:p>
    <w:p w14:paraId="6B5F3406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Kierownik naukowy: dr hab. n. med. Dariusz Kosson</w:t>
      </w: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Prowadzący: prof.  Bogdan Ciszek, lek. Michał But, dr n. med.  Marcin Kołacz, lek. Marek Janiak.</w:t>
      </w:r>
    </w:p>
    <w:p w14:paraId="3E5BB69A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Uczestnicy będą ćwiczyć na ludzkich preparatach nieutrwalonych (głowy). </w:t>
      </w:r>
      <w:proofErr w:type="spellStart"/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Cadavery</w:t>
      </w:r>
      <w:proofErr w:type="spellEnd"/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 są mrożone bezpośrednio po pobraniu od dawców oraz rozmrażane tuż przed kursem, dzięki czemu tkanki zachowują właściwości żywego organizmu. Wszystkie preparaty używane w czasie szkoleń zostały przebadane, a ich dawcy dobrowolnie przekazali swoje ciało do badań naukowych.</w:t>
      </w:r>
    </w:p>
    <w:p w14:paraId="5F791107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 trakcie warsztatów będą ćwiczone procedury pod kontrolą USG oraz RTG.</w:t>
      </w:r>
    </w:p>
    <w:p w14:paraId="428F26A4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Program warsztatów</w:t>
      </w:r>
    </w:p>
    <w:p w14:paraId="08CA270A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Uczestniczy ćwiczą w 3-4 osobowych grupach (na preparat głowy). Łącznie przygotowanych jest 8 stacji warsztatowych.</w:t>
      </w:r>
    </w:p>
    <w:p w14:paraId="4E486CB8" w14:textId="77777777" w:rsidR="00ED0D2B" w:rsidRPr="00ED0D2B" w:rsidRDefault="00ED0D2B" w:rsidP="00ED0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09:00-09:15    Rozpoczęcie kursu i wprowadzenie</w:t>
      </w:r>
    </w:p>
    <w:p w14:paraId="4B7FB0A0" w14:textId="77777777" w:rsidR="00ED0D2B" w:rsidRPr="00ED0D2B" w:rsidRDefault="00ED0D2B" w:rsidP="00ED0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09:15-10:15     WARSZTATY:</w:t>
      </w: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prof. Bogdan Ciszek - anatomia - omówienie z prezentacją na preparacie</w:t>
      </w: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  <w:t>dr hab. n. med. Dariusz Kosson - wskazania</w:t>
      </w:r>
    </w:p>
    <w:p w14:paraId="7CA7C589" w14:textId="77777777" w:rsidR="00ED0D2B" w:rsidRPr="00ED0D2B" w:rsidRDefault="00ED0D2B" w:rsidP="00ED0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10:15-12:30    WARSZTATY - 4 stacje</w:t>
      </w:r>
    </w:p>
    <w:p w14:paraId="4B5209B0" w14:textId="77777777" w:rsidR="00ED0D2B" w:rsidRPr="00ED0D2B" w:rsidRDefault="00ED0D2B" w:rsidP="00ED0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12:30-13:30    Przerwa obiadowa</w:t>
      </w:r>
    </w:p>
    <w:p w14:paraId="254A7497" w14:textId="77777777" w:rsidR="00ED0D2B" w:rsidRPr="00ED0D2B" w:rsidRDefault="00ED0D2B" w:rsidP="00ED0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13:30-15:45    WARSZTATY - 4 stacje</w:t>
      </w:r>
    </w:p>
    <w:p w14:paraId="34677B8E" w14:textId="77777777" w:rsidR="00ED0D2B" w:rsidRPr="00ED0D2B" w:rsidRDefault="00ED0D2B" w:rsidP="00ED0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15:45-16:00    Przerwa kawowa</w:t>
      </w:r>
    </w:p>
    <w:p w14:paraId="00FBC0FE" w14:textId="77777777" w:rsidR="00ED0D2B" w:rsidRPr="00ED0D2B" w:rsidRDefault="00ED0D2B" w:rsidP="00ED0D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16:00-16:45    Podsumowanie i zakończenie</w:t>
      </w:r>
    </w:p>
    <w:p w14:paraId="552791E9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Podczas kursu ćwiczone będą</w:t>
      </w:r>
    </w:p>
    <w:p w14:paraId="6A1575FA" w14:textId="77777777" w:rsidR="00ED0D2B" w:rsidRPr="00ED0D2B" w:rsidRDefault="00ED0D2B" w:rsidP="00ED0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(uwaga, przedstawiona poniżej lista może ulec niewielkim zmianom, w zależności od możliwości ich realizacji na dostępnych preparatach głów)</w:t>
      </w:r>
    </w:p>
    <w:p w14:paraId="545BF76C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nerwu potylicznego</w:t>
      </w:r>
    </w:p>
    <w:p w14:paraId="672FD0E2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nerwu trójdzielnego</w:t>
      </w:r>
    </w:p>
    <w:p w14:paraId="306D6876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nerwu trójdzielnego gałąź oczna nerwy nadoczodołowy i nadbloczkowy</w:t>
      </w:r>
    </w:p>
    <w:p w14:paraId="704D4218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Blokada nerwu trójdzielnego gałąź szczękowa nerw </w:t>
      </w:r>
      <w:proofErr w:type="spellStart"/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podoczodłowy</w:t>
      </w:r>
      <w:proofErr w:type="spellEnd"/>
    </w:p>
    <w:p w14:paraId="5EED7AA5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nerwu trójdzielnego gałąź żuchwowa nerw uszno-skroniowy</w:t>
      </w:r>
    </w:p>
    <w:p w14:paraId="5786E362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nerwu trójdzielnego gałąź żuchwowa nerw bródkowy</w:t>
      </w:r>
    </w:p>
    <w:p w14:paraId="6CCDFF77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zwoju skrzydłowo-podniebiennego</w:t>
      </w:r>
    </w:p>
    <w:p w14:paraId="35CE6268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blokada zwoju </w:t>
      </w:r>
      <w:proofErr w:type="spellStart"/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Gassera</w:t>
      </w:r>
      <w:proofErr w:type="spellEnd"/>
    </w:p>
    <w:p w14:paraId="49A1F218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nerwu językowo-</w:t>
      </w:r>
      <w:proofErr w:type="spellStart"/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gardlowego</w:t>
      </w:r>
      <w:proofErr w:type="spellEnd"/>
    </w:p>
    <w:p w14:paraId="64D1530A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wstrzyknięcie do stawu skroniowo-żuchwowego</w:t>
      </w:r>
    </w:p>
    <w:p w14:paraId="4D6B9C0C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zwoju gwiaździstego</w:t>
      </w:r>
    </w:p>
    <w:p w14:paraId="344E440A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blokada stawów międzywyrostkowych</w:t>
      </w:r>
    </w:p>
    <w:p w14:paraId="3994F8A4" w14:textId="77777777" w:rsidR="00ED0D2B" w:rsidRPr="00ED0D2B" w:rsidRDefault="00ED0D2B" w:rsidP="00ED0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D0D2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blokada korzeni nerwów</w:t>
      </w:r>
    </w:p>
    <w:p w14:paraId="411B8AC8" w14:textId="77777777" w:rsidR="00457AF0" w:rsidRPr="00ED0D2B" w:rsidRDefault="00457AF0">
      <w:pPr>
        <w:rPr>
          <w:sz w:val="18"/>
          <w:szCs w:val="18"/>
        </w:rPr>
      </w:pPr>
    </w:p>
    <w:sectPr w:rsidR="00457AF0" w:rsidRPr="00ED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B1F64"/>
    <w:multiLevelType w:val="multilevel"/>
    <w:tmpl w:val="F30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F6731"/>
    <w:multiLevelType w:val="multilevel"/>
    <w:tmpl w:val="0220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85B9D"/>
    <w:multiLevelType w:val="multilevel"/>
    <w:tmpl w:val="D5F4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047147">
    <w:abstractNumId w:val="1"/>
  </w:num>
  <w:num w:numId="2" w16cid:durableId="1899246243">
    <w:abstractNumId w:val="0"/>
  </w:num>
  <w:num w:numId="3" w16cid:durableId="115646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6F"/>
    <w:rsid w:val="00457AF0"/>
    <w:rsid w:val="0051238B"/>
    <w:rsid w:val="00A73C6F"/>
    <w:rsid w:val="00E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921E"/>
  <w15:chartTrackingRefBased/>
  <w15:docId w15:val="{E46F746E-FF09-44CE-BC91-8E5C33A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D0D2B"/>
    <w:rPr>
      <w:i/>
      <w:iCs/>
    </w:rPr>
  </w:style>
  <w:style w:type="character" w:styleId="Pogrubienie">
    <w:name w:val="Strong"/>
    <w:basedOn w:val="Domylnaczcionkaakapitu"/>
    <w:uiPriority w:val="22"/>
    <w:qFormat/>
    <w:rsid w:val="00ED0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2</cp:revision>
  <dcterms:created xsi:type="dcterms:W3CDTF">2024-01-13T09:19:00Z</dcterms:created>
  <dcterms:modified xsi:type="dcterms:W3CDTF">2024-01-13T09:20:00Z</dcterms:modified>
</cp:coreProperties>
</file>