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610B4" w14:textId="77777777" w:rsidR="008A2CDA" w:rsidRPr="00884D80" w:rsidRDefault="008A2CDA" w:rsidP="00884D80">
      <w:pPr>
        <w:jc w:val="center"/>
        <w:rPr>
          <w:rFonts w:ascii="Cambria" w:hAnsi="Cambria"/>
          <w:sz w:val="28"/>
          <w:szCs w:val="28"/>
        </w:rPr>
      </w:pPr>
    </w:p>
    <w:p w14:paraId="423EEF16" w14:textId="2D45A585" w:rsidR="00884D80" w:rsidRDefault="00884D80" w:rsidP="00884D80">
      <w:pPr>
        <w:tabs>
          <w:tab w:val="left" w:pos="3288"/>
        </w:tabs>
        <w:jc w:val="center"/>
        <w:rPr>
          <w:rFonts w:ascii="Cambria" w:hAnsi="Cambria"/>
          <w:b/>
          <w:bCs/>
          <w:sz w:val="28"/>
          <w:szCs w:val="28"/>
        </w:rPr>
      </w:pPr>
      <w:r w:rsidRPr="00884D80">
        <w:rPr>
          <w:rFonts w:ascii="Cambria" w:hAnsi="Cambria"/>
          <w:b/>
          <w:bCs/>
          <w:sz w:val="28"/>
          <w:szCs w:val="28"/>
        </w:rPr>
        <w:t>PROGRAM</w:t>
      </w:r>
    </w:p>
    <w:p w14:paraId="66696E6B" w14:textId="77777777" w:rsidR="00675D14" w:rsidRPr="00884D80" w:rsidRDefault="00675D14" w:rsidP="00884D80">
      <w:pPr>
        <w:tabs>
          <w:tab w:val="left" w:pos="3288"/>
        </w:tabs>
        <w:jc w:val="center"/>
        <w:rPr>
          <w:rFonts w:ascii="Cambria" w:hAnsi="Cambria"/>
          <w:b/>
          <w:bCs/>
          <w:sz w:val="28"/>
          <w:szCs w:val="28"/>
        </w:rPr>
      </w:pPr>
    </w:p>
    <w:p w14:paraId="2A30ADB0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sz w:val="20"/>
          <w:szCs w:val="20"/>
        </w:rPr>
        <w:t>Czwartek, 15.05.2025</w:t>
      </w:r>
    </w:p>
    <w:p w14:paraId="288405BE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sz w:val="20"/>
          <w:szCs w:val="20"/>
        </w:rPr>
        <w:t>SESJEWARSZTATOWE **</w:t>
      </w:r>
    </w:p>
    <w:p w14:paraId="19013D26" w14:textId="0F405C51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14:00-15:30</w:t>
      </w:r>
      <w:r>
        <w:rPr>
          <w:rFonts w:ascii="Cambria" w:hAnsi="Cambria"/>
          <w:b/>
          <w:bCs/>
          <w:sz w:val="20"/>
          <w:szCs w:val="20"/>
        </w:rPr>
        <w:t xml:space="preserve">   </w:t>
      </w:r>
      <w:r w:rsidRPr="00626164">
        <w:rPr>
          <w:rFonts w:ascii="Cambria" w:hAnsi="Cambria"/>
          <w:b/>
          <w:bCs/>
          <w:sz w:val="20"/>
          <w:szCs w:val="20"/>
        </w:rPr>
        <w:t>Wspomaganie funkcji płuc na OIT i bloku operacyjnym</w:t>
      </w:r>
    </w:p>
    <w:p w14:paraId="5F938E47" w14:textId="3036BEE8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 </w:t>
      </w:r>
      <w:r w:rsidRPr="00626164">
        <w:rPr>
          <w:rFonts w:ascii="Cambria" w:hAnsi="Cambria"/>
          <w:sz w:val="20"/>
          <w:szCs w:val="20"/>
        </w:rPr>
        <w:t>dr hab. n. med. Michał Borys, prof. KUL, dr hab. n. med. Paweł Piwowarczyk, prof. KUL</w:t>
      </w:r>
    </w:p>
    <w:p w14:paraId="60726B67" w14:textId="56BCC31A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15:00-18:0</w:t>
      </w:r>
      <w:r>
        <w:rPr>
          <w:rFonts w:ascii="Cambria" w:hAnsi="Cambria"/>
          <w:b/>
          <w:bCs/>
          <w:sz w:val="20"/>
          <w:szCs w:val="20"/>
        </w:rPr>
        <w:t xml:space="preserve">0   </w:t>
      </w:r>
      <w:r w:rsidRPr="00626164">
        <w:rPr>
          <w:rFonts w:ascii="Cambria" w:hAnsi="Cambria"/>
          <w:b/>
          <w:bCs/>
          <w:sz w:val="20"/>
          <w:szCs w:val="20"/>
        </w:rPr>
        <w:t>Hemodynamika</w:t>
      </w:r>
    </w:p>
    <w:p w14:paraId="208F4302" w14:textId="06A83CCD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 </w:t>
      </w:r>
      <w:r w:rsidRPr="00626164">
        <w:rPr>
          <w:rFonts w:ascii="Cambria" w:hAnsi="Cambria"/>
          <w:sz w:val="20"/>
          <w:szCs w:val="20"/>
        </w:rPr>
        <w:t>dr n. med. Jolanta Cylwik, dr n. med. Justyna Sysiak-Sławecka, dr Marta Gocka</w:t>
      </w:r>
    </w:p>
    <w:p w14:paraId="32638DA9" w14:textId="7F313D0A" w:rsid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15:30-18:30</w:t>
      </w:r>
      <w:r>
        <w:rPr>
          <w:rFonts w:ascii="Cambria" w:hAnsi="Cambria"/>
          <w:b/>
          <w:bCs/>
          <w:sz w:val="20"/>
          <w:szCs w:val="20"/>
        </w:rPr>
        <w:t xml:space="preserve">   </w:t>
      </w:r>
      <w:r w:rsidRPr="00626164">
        <w:rPr>
          <w:rFonts w:ascii="Cambria" w:hAnsi="Cambria"/>
          <w:b/>
          <w:bCs/>
          <w:sz w:val="20"/>
          <w:szCs w:val="20"/>
        </w:rPr>
        <w:t>Wybrane blokady regionalne</w:t>
      </w:r>
    </w:p>
    <w:p w14:paraId="78BD6D45" w14:textId="77777777" w:rsidR="00E85707" w:rsidRPr="00626164" w:rsidRDefault="00E85707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38EBFFB5" w14:textId="5DB1F277" w:rsid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sz w:val="20"/>
          <w:szCs w:val="20"/>
        </w:rPr>
        <w:t>Piątek, 16.05.2025</w:t>
      </w:r>
      <w:r>
        <w:rPr>
          <w:rFonts w:ascii="Cambria" w:hAnsi="Cambria"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Rozpoczęcie Konferencji, powitanie Uczestników</w:t>
      </w:r>
    </w:p>
    <w:p w14:paraId="63B7CCEA" w14:textId="77777777" w:rsidR="00E85707" w:rsidRPr="00626164" w:rsidRDefault="00E85707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</w:p>
    <w:p w14:paraId="50BD8DD5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I: Anestezjologia w położnictwie</w:t>
      </w:r>
    </w:p>
    <w:p w14:paraId="28893BC2" w14:textId="1EFFAE28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9:10-9:30</w:t>
      </w:r>
      <w:r>
        <w:rPr>
          <w:rFonts w:ascii="Cambria" w:hAnsi="Cambria"/>
          <w:b/>
          <w:bCs/>
          <w:sz w:val="20"/>
          <w:szCs w:val="20"/>
        </w:rPr>
        <w:t xml:space="preserve">        </w:t>
      </w:r>
      <w:r w:rsidRPr="00626164">
        <w:rPr>
          <w:rFonts w:ascii="Cambria" w:hAnsi="Cambria"/>
          <w:b/>
          <w:bCs/>
          <w:sz w:val="20"/>
          <w:szCs w:val="20"/>
        </w:rPr>
        <w:t>Fizjologia porodu a znieczulenie zewnątrzoponowe</w:t>
      </w:r>
    </w:p>
    <w:p w14:paraId="33C652A0" w14:textId="51C90262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n. med. Elżbieta Rypulak</w:t>
      </w:r>
    </w:p>
    <w:p w14:paraId="2C841128" w14:textId="276D38E1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9:30-9:50</w:t>
      </w:r>
      <w:r>
        <w:rPr>
          <w:rFonts w:ascii="Cambria" w:hAnsi="Cambria"/>
          <w:b/>
          <w:bCs/>
          <w:sz w:val="20"/>
          <w:szCs w:val="20"/>
        </w:rPr>
        <w:t xml:space="preserve">        </w:t>
      </w:r>
      <w:r w:rsidRPr="00626164">
        <w:rPr>
          <w:rFonts w:ascii="Cambria" w:hAnsi="Cambria"/>
          <w:b/>
          <w:bCs/>
          <w:sz w:val="20"/>
          <w:szCs w:val="20"/>
        </w:rPr>
        <w:t>Znieczulenie porodu</w:t>
      </w:r>
    </w:p>
    <w:p w14:paraId="6192F4A9" w14:textId="242BC9F6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n. med. Marek Janiak</w:t>
      </w:r>
    </w:p>
    <w:p w14:paraId="4AC5A9D8" w14:textId="3EEF9B03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9:50-10:10</w:t>
      </w:r>
      <w:r>
        <w:rPr>
          <w:rFonts w:ascii="Cambria" w:hAnsi="Cambria"/>
          <w:b/>
          <w:bCs/>
          <w:sz w:val="20"/>
          <w:szCs w:val="20"/>
        </w:rPr>
        <w:t xml:space="preserve">     </w:t>
      </w:r>
      <w:r w:rsidRPr="00626164">
        <w:rPr>
          <w:rFonts w:ascii="Cambria" w:hAnsi="Cambria"/>
          <w:b/>
          <w:bCs/>
          <w:sz w:val="20"/>
          <w:szCs w:val="20"/>
        </w:rPr>
        <w:t>Odwracanie blokad nerwowo-mięśniowych</w:t>
      </w:r>
    </w:p>
    <w:p w14:paraId="1C11B13E" w14:textId="091AA839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Hanna Misołek</w:t>
      </w:r>
    </w:p>
    <w:p w14:paraId="5EE769D1" w14:textId="5EB435EC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10:10-10:15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3D832D38" w14:textId="47945685" w:rsid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10:15-10:30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Przerwa kawowa</w:t>
      </w:r>
    </w:p>
    <w:p w14:paraId="4AE3117E" w14:textId="77777777" w:rsidR="00E85707" w:rsidRPr="00626164" w:rsidRDefault="00E85707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6C6A8A4B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II: Zakażenia</w:t>
      </w:r>
    </w:p>
    <w:p w14:paraId="46E4CEBB" w14:textId="53D383C9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10:</w:t>
      </w:r>
      <w:r w:rsidR="00AE30FC">
        <w:rPr>
          <w:rFonts w:ascii="Cambria" w:hAnsi="Cambria"/>
          <w:b/>
          <w:bCs/>
          <w:sz w:val="20"/>
          <w:szCs w:val="20"/>
        </w:rPr>
        <w:t>3</w:t>
      </w:r>
      <w:r w:rsidRPr="00626164">
        <w:rPr>
          <w:rFonts w:ascii="Cambria" w:hAnsi="Cambria"/>
          <w:b/>
          <w:bCs/>
          <w:sz w:val="20"/>
          <w:szCs w:val="20"/>
        </w:rPr>
        <w:t>0-10:50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Racjonalna antybiotykoterapia w OIT</w:t>
      </w:r>
    </w:p>
    <w:p w14:paraId="52DBC462" w14:textId="6E0113A4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n. med. Agnieszka Misiewska-Kaczur</w:t>
      </w:r>
    </w:p>
    <w:p w14:paraId="15E61C04" w14:textId="40FD2BDB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10:50-11:10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Kolonizacja i zakażenia MDR w OIT- profilaktyka i postępowanie</w:t>
      </w:r>
    </w:p>
    <w:p w14:paraId="37CD9002" w14:textId="3A5B7875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Katarzyna Dzierżanowska- Fangrat</w:t>
      </w:r>
    </w:p>
    <w:p w14:paraId="64B99C10" w14:textId="1E7D2B39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11:10-11:30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Sytuacja mikrobiologiczna po pandemii COVID-19</w:t>
      </w:r>
    </w:p>
    <w:p w14:paraId="3FA506B3" w14:textId="5CC58A21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hab. n. med. Michał Borys, prof. KUL</w:t>
      </w:r>
    </w:p>
    <w:p w14:paraId="26303087" w14:textId="52C37501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11:30-11:35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39F8973F" w14:textId="43ECC90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11:35-11:50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Przerwa kawowa</w:t>
      </w:r>
    </w:p>
    <w:p w14:paraId="0A913EB9" w14:textId="77777777" w:rsidR="00E85707" w:rsidRDefault="00E85707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10CF1BD7" w14:textId="63428911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III: Transplantologia</w:t>
      </w:r>
    </w:p>
    <w:p w14:paraId="62CAE458" w14:textId="0258AB39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11:50-12:10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Kryteria śmierci mózgu</w:t>
      </w:r>
    </w:p>
    <w:p w14:paraId="1CA6ED8C" w14:textId="6C114A2B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Joanna Sołek-Pastuszka</w:t>
      </w:r>
    </w:p>
    <w:p w14:paraId="04CE6472" w14:textId="51EAC7FC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12:10-12:30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Spojrzenie etyka na kwestie transplantacji</w:t>
      </w:r>
    </w:p>
    <w:p w14:paraId="7CF01338" w14:textId="6DAE66CA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TBA</w:t>
      </w:r>
    </w:p>
    <w:p w14:paraId="24503412" w14:textId="4AA6835D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12:30-12:50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Organizacja transplantologii w Polsce</w:t>
      </w:r>
    </w:p>
    <w:p w14:paraId="33EA61C5" w14:textId="7A22004D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Jarosław Czerwiński, Poltransplant</w:t>
      </w:r>
    </w:p>
    <w:p w14:paraId="6B9ABD5A" w14:textId="4F3EAA21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12:50-13:10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Opieka nad dawcą narządów</w:t>
      </w:r>
    </w:p>
    <w:p w14:paraId="2A5F1DF5" w14:textId="6EEB3D2F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Radosław Owczuk</w:t>
      </w:r>
    </w:p>
    <w:p w14:paraId="74F923EB" w14:textId="0105990D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13:10-13:15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04B4ECA4" w14:textId="7515F92B" w:rsid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13:15-14:15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OBIAD</w:t>
      </w:r>
    </w:p>
    <w:p w14:paraId="4B64F3A5" w14:textId="77777777" w:rsidR="00E85707" w:rsidRPr="00626164" w:rsidRDefault="00E85707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2BE6F618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IV: Prewencja powikłań dotyczących układu krzepnięcia</w:t>
      </w:r>
    </w:p>
    <w:p w14:paraId="6353B9C8" w14:textId="0E9CB9F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14:15-14:35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Nowe wytyczne ESAIC 2024 profilaktyki zakrzepowo-zatorowej</w:t>
      </w:r>
    </w:p>
    <w:p w14:paraId="1E0B07CC" w14:textId="1C8368AB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hab. n. med. Paweł Piwowarczyk, prof. KUL</w:t>
      </w:r>
    </w:p>
    <w:p w14:paraId="5CE0DA26" w14:textId="47CCF29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14:35-14:55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Odwracanie roli leków przeciwkrzepliwych u pacjentów przygotowywanych do zabiegów</w:t>
      </w:r>
    </w:p>
    <w:p w14:paraId="391DD9E4" w14:textId="7A1B2AFF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Jerzy Windyga</w:t>
      </w:r>
    </w:p>
    <w:p w14:paraId="3FFE3534" w14:textId="679D0EF8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14:55-15:00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7AE6AF83" w14:textId="67DF17C6" w:rsid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15:00-15:15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Przerwa kawowa</w:t>
      </w:r>
    </w:p>
    <w:p w14:paraId="13191326" w14:textId="77777777" w:rsidR="00E85707" w:rsidRPr="00626164" w:rsidRDefault="00E85707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7EE83A7C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V: Żywienie</w:t>
      </w:r>
    </w:p>
    <w:p w14:paraId="007F2EE7" w14:textId="34E5ABD6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15:15-15:35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Leczenie żywieniowe po OIT</w:t>
      </w:r>
    </w:p>
    <w:p w14:paraId="2A36F4BD" w14:textId="7482AD1B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hab. n. med. Michał Borys, prof. KUL</w:t>
      </w:r>
    </w:p>
    <w:p w14:paraId="565CF8E6" w14:textId="0FA2D2EE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15:35-15:55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Czy żywienie powoduje hiperglikemię w OIT?</w:t>
      </w:r>
    </w:p>
    <w:p w14:paraId="47C5823B" w14:textId="79E3B78E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n. med. Paweł Kutnik</w:t>
      </w:r>
    </w:p>
    <w:p w14:paraId="562E6CDD" w14:textId="67315656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i/>
          <w:iCs/>
          <w:sz w:val="20"/>
          <w:szCs w:val="20"/>
        </w:rPr>
      </w:pPr>
      <w:r>
        <w:rPr>
          <w:rFonts w:ascii="Cambria" w:hAnsi="Cambria"/>
          <w:i/>
          <w:iCs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i/>
          <w:iCs/>
          <w:sz w:val="20"/>
          <w:szCs w:val="20"/>
        </w:rPr>
        <w:t>Wykład sponsorowany</w:t>
      </w:r>
      <w:r>
        <w:rPr>
          <w:rFonts w:ascii="Cambria" w:hAnsi="Cambria"/>
          <w:i/>
          <w:iCs/>
          <w:sz w:val="20"/>
          <w:szCs w:val="20"/>
        </w:rPr>
        <w:t xml:space="preserve">     </w:t>
      </w:r>
      <w:r w:rsidRPr="00626164">
        <w:rPr>
          <w:rFonts w:ascii="Cambria" w:hAnsi="Cambria"/>
          <w:noProof/>
          <w:sz w:val="20"/>
          <w:szCs w:val="20"/>
        </w:rPr>
        <w:drawing>
          <wp:inline distT="0" distB="0" distL="0" distR="0" wp14:anchorId="0A3EE700" wp14:editId="385E1D53">
            <wp:extent cx="695325" cy="291098"/>
            <wp:effectExtent l="0" t="0" r="0" b="0"/>
            <wp:docPr id="1674870316" name="Obraz 2" descr="Nutr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tric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98" cy="2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E7F3" w14:textId="2F51CD38" w:rsid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15:55-16:00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5C91DFC6" w14:textId="77777777" w:rsidR="00E85707" w:rsidRPr="00626164" w:rsidRDefault="00E85707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422D2C92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VI: POLSPEN</w:t>
      </w:r>
    </w:p>
    <w:p w14:paraId="3F1FA125" w14:textId="3173AA04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16:00-16:10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Emulsje tłuszczowe w żywieniu pozajelitowym – rekomendacje ekspertów</w:t>
      </w:r>
    </w:p>
    <w:p w14:paraId="3B75F04B" w14:textId="20BB5765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Mirosław Czuczwar</w:t>
      </w:r>
    </w:p>
    <w:p w14:paraId="5699B8F5" w14:textId="0ED36316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lastRenderedPageBreak/>
        <w:t>16:10-16:30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Interwencja żywieniowa u pacjenta w trakcie prehabilitacji</w:t>
      </w:r>
    </w:p>
    <w:p w14:paraId="62597CEC" w14:textId="0EE7DC7E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hab. n. med. Dorota Mańkowska-Wierzbicka</w:t>
      </w:r>
    </w:p>
    <w:p w14:paraId="734E312A" w14:textId="5999D9A0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16:30-16:50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Sarkopenia jako problem medyczny</w:t>
      </w:r>
    </w:p>
    <w:p w14:paraId="19C0FE2A" w14:textId="39D3E1BE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hab. n. med. Marcin Folwarski</w:t>
      </w:r>
    </w:p>
    <w:p w14:paraId="78FEAFE5" w14:textId="49F41C74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16:50-17:10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Zastosowanie zbilansowanych płynów w opiece okołooperacyjnej</w:t>
      </w:r>
    </w:p>
    <w:p w14:paraId="5DAEEEBB" w14:textId="346916B3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n. med. Anna Włudarczyk</w:t>
      </w:r>
    </w:p>
    <w:p w14:paraId="016CDD7F" w14:textId="77777777" w:rsid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551765F5" w14:textId="395584A5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17:10-17:15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7DAF3F71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VII: Sesja sponsorowana</w:t>
      </w:r>
    </w:p>
    <w:p w14:paraId="77667B1D" w14:textId="54599DB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17:20-17:40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Total Minimal/ Low Flow Anesthesia (TMFA/TLFA) – nowe podejście do znieczulenia wziewnego</w:t>
      </w:r>
    </w:p>
    <w:p w14:paraId="318DFE13" w14:textId="4768A114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Tomasz Gaszyński</w:t>
      </w:r>
    </w:p>
    <w:p w14:paraId="7F9C8D1C" w14:textId="1AF187FE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17:40-18:10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Im szybciej tym lepiej? Jak żywić pacjenta na OIT</w:t>
      </w:r>
    </w:p>
    <w:p w14:paraId="33DE73EB" w14:textId="015EFED9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hab. n. med. Tomasz Czarnik, prof. dr hab. n. med. Mirosław Czuczwar</w:t>
      </w:r>
    </w:p>
    <w:p w14:paraId="5CBAC2A7" w14:textId="3E805779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18:10-18:15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472FEA00" w14:textId="77777777" w:rsid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</w:p>
    <w:p w14:paraId="3AE45679" w14:textId="77777777" w:rsidR="00E85707" w:rsidRDefault="00E85707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</w:p>
    <w:p w14:paraId="03CA757C" w14:textId="5CA87F7E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sz w:val="20"/>
          <w:szCs w:val="20"/>
        </w:rPr>
        <w:t>Sobota, 17.05.2025</w:t>
      </w:r>
    </w:p>
    <w:p w14:paraId="0909D058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VIII: Powikłania neurologiczne</w:t>
      </w:r>
    </w:p>
    <w:p w14:paraId="544D5922" w14:textId="294C7EF8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9:00-9:20</w:t>
      </w:r>
      <w:r>
        <w:rPr>
          <w:rFonts w:ascii="Cambria" w:hAnsi="Cambria"/>
          <w:b/>
          <w:bCs/>
          <w:sz w:val="20"/>
          <w:szCs w:val="20"/>
        </w:rPr>
        <w:t xml:space="preserve">        </w:t>
      </w:r>
      <w:r w:rsidRPr="00626164">
        <w:rPr>
          <w:rFonts w:ascii="Cambria" w:hAnsi="Cambria"/>
          <w:b/>
          <w:bCs/>
          <w:sz w:val="20"/>
          <w:szCs w:val="20"/>
        </w:rPr>
        <w:t>Powikłania neurologiczne znieczuleń i jak ich unikać</w:t>
      </w:r>
    </w:p>
    <w:p w14:paraId="36615DAC" w14:textId="6C549798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n. med. Beata Rzewuska</w:t>
      </w:r>
    </w:p>
    <w:p w14:paraId="26D7B68C" w14:textId="6AEB3BCD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9:20-9:40</w:t>
      </w:r>
      <w:r>
        <w:rPr>
          <w:rFonts w:ascii="Cambria" w:hAnsi="Cambria"/>
          <w:b/>
          <w:bCs/>
          <w:sz w:val="20"/>
          <w:szCs w:val="20"/>
        </w:rPr>
        <w:t xml:space="preserve">        </w:t>
      </w:r>
      <w:r w:rsidRPr="00626164">
        <w:rPr>
          <w:rFonts w:ascii="Cambria" w:hAnsi="Cambria"/>
          <w:b/>
          <w:bCs/>
          <w:sz w:val="20"/>
          <w:szCs w:val="20"/>
        </w:rPr>
        <w:t>Dokąd (w polskich warunkach) kierować pacjenta z TBI po zakończeniu leczenia w OIT? Co dalej?</w:t>
      </w:r>
    </w:p>
    <w:p w14:paraId="3C82E463" w14:textId="45BB7A15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Barbara Jastrzębska-Ligocka</w:t>
      </w:r>
    </w:p>
    <w:p w14:paraId="51D7414D" w14:textId="23E658B9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9:40-10:00</w:t>
      </w:r>
      <w:r>
        <w:rPr>
          <w:rFonts w:ascii="Cambria" w:hAnsi="Cambria"/>
          <w:b/>
          <w:bCs/>
          <w:sz w:val="20"/>
          <w:szCs w:val="20"/>
        </w:rPr>
        <w:t xml:space="preserve">     </w:t>
      </w:r>
      <w:r w:rsidRPr="00626164">
        <w:rPr>
          <w:rFonts w:ascii="Cambria" w:hAnsi="Cambria"/>
          <w:b/>
          <w:bCs/>
          <w:sz w:val="20"/>
          <w:szCs w:val="20"/>
        </w:rPr>
        <w:t>Co może pójść nie tak? Uraz wtórny OUN i jego ewolucja</w:t>
      </w:r>
    </w:p>
    <w:p w14:paraId="49F0FA5E" w14:textId="14B8CA39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dr n. med. Agata Andrzejewska</w:t>
      </w:r>
    </w:p>
    <w:p w14:paraId="71302D96" w14:textId="4BF635A0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10:00-10:20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Rehabilitacja multisensoryczna po urazie OUN</w:t>
      </w:r>
    </w:p>
    <w:p w14:paraId="6051CE39" w14:textId="37B2425C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 </w:t>
      </w:r>
      <w:r w:rsidRPr="00626164">
        <w:rPr>
          <w:rFonts w:ascii="Cambria" w:hAnsi="Cambria"/>
          <w:sz w:val="20"/>
          <w:szCs w:val="20"/>
        </w:rPr>
        <w:t>prof. dr hab. n. med. Joanna Sołek-Pastuszka</w:t>
      </w:r>
    </w:p>
    <w:p w14:paraId="591DBB5A" w14:textId="4FD4AD36" w:rsid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10:20-10:25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44E41042" w14:textId="77777777" w:rsidR="00E85707" w:rsidRPr="00626164" w:rsidRDefault="00E85707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64A9630E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IX: Terapie pozaustrojowe</w:t>
      </w:r>
    </w:p>
    <w:p w14:paraId="1DA8435D" w14:textId="63EF7D5B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10:25-10:45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Pozaustrojowe usuwanie CO2 - czy ma jeszcze miejsce w praktyce klinicznej?</w:t>
      </w:r>
    </w:p>
    <w:p w14:paraId="5B2D0F2A" w14:textId="03C8E20C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hab. n. med. Dariusz Onichimowski</w:t>
      </w:r>
    </w:p>
    <w:p w14:paraId="56A2E9F9" w14:textId="0BC6B7AA" w:rsidR="00626164" w:rsidRPr="00626164" w:rsidRDefault="00AE30FC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10:45-11:05</w:t>
      </w:r>
      <w:r w:rsidR="00626164">
        <w:rPr>
          <w:rFonts w:ascii="Cambria" w:hAnsi="Cambria"/>
          <w:b/>
          <w:bCs/>
          <w:sz w:val="20"/>
          <w:szCs w:val="20"/>
        </w:rPr>
        <w:t xml:space="preserve">  </w:t>
      </w:r>
      <w:r w:rsidR="00626164" w:rsidRPr="00626164">
        <w:rPr>
          <w:rFonts w:ascii="Cambria" w:hAnsi="Cambria"/>
          <w:b/>
          <w:bCs/>
          <w:sz w:val="20"/>
          <w:szCs w:val="20"/>
        </w:rPr>
        <w:t>eCPR</w:t>
      </w:r>
    </w:p>
    <w:p w14:paraId="42F6DF7B" w14:textId="47DD8A5B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n. med. Jacek Górka</w:t>
      </w:r>
    </w:p>
    <w:p w14:paraId="51C5C3EE" w14:textId="1661E59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lastRenderedPageBreak/>
        <w:t>11:05-11:35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Wczesne czy późne wdrażanie CRRT na OIT? Dyskusja za i przeciw</w:t>
      </w:r>
    </w:p>
    <w:p w14:paraId="2AFA53E2" w14:textId="6A35E344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hab. n. med. Tomasz Czarnik, prof. dr hab. n. med. Mirosław Czuczwar</w:t>
      </w:r>
    </w:p>
    <w:p w14:paraId="64062227" w14:textId="75A9C3BB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11:35-11:40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Dyskusja</w:t>
      </w:r>
    </w:p>
    <w:p w14:paraId="29618A08" w14:textId="7F2E47A2" w:rsid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11:40-12:00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PRZERWA KAWOWA</w:t>
      </w:r>
    </w:p>
    <w:p w14:paraId="0A710D67" w14:textId="77777777" w:rsidR="00E85707" w:rsidRPr="00626164" w:rsidRDefault="00E85707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1DF9278E" w14:textId="7777777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SESJA X: Prewencja i leczenie bólu</w:t>
      </w:r>
    </w:p>
    <w:p w14:paraId="17168E56" w14:textId="43397472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12:00-12:20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Powikłania leczenia opioidami</w:t>
      </w:r>
    </w:p>
    <w:p w14:paraId="575F49F0" w14:textId="007B4024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n. med. Magdalena Kocot-Kępska</w:t>
      </w:r>
    </w:p>
    <w:p w14:paraId="281FD2B4" w14:textId="6625FBAA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12:20-12:40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Antykoagulacja a blokady regionalne</w:t>
      </w:r>
    </w:p>
    <w:p w14:paraId="67E30A58" w14:textId="26219EBC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n. med. Wojciech Gola</w:t>
      </w:r>
    </w:p>
    <w:p w14:paraId="7C6FD2BF" w14:textId="4AC4915F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12:40-13:00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Jak bezpiecznie wykonać blokady?</w:t>
      </w:r>
    </w:p>
    <w:p w14:paraId="68F4F2A7" w14:textId="1C13F4F7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hab. n. med. Szymon Białka</w:t>
      </w:r>
    </w:p>
    <w:p w14:paraId="68857C33" w14:textId="50E79AC8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13:00-13:20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Leczenie farmakologiczne bólu ostrego</w:t>
      </w:r>
    </w:p>
    <w:p w14:paraId="63FAAC15" w14:textId="1024644F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hab. n. med. Renata Zajączkowska</w:t>
      </w:r>
    </w:p>
    <w:p w14:paraId="379AB97A" w14:textId="007BEF00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13:20-13:40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Organizacja blokad przewodowych na bloku operacyjnym</w:t>
      </w:r>
    </w:p>
    <w:p w14:paraId="45CA5AAE" w14:textId="744F00AB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dr n. med. Marcin Mieszkowski</w:t>
      </w:r>
    </w:p>
    <w:p w14:paraId="1790B1EE" w14:textId="17BCE670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13:40-14:00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b/>
          <w:bCs/>
          <w:sz w:val="20"/>
          <w:szCs w:val="20"/>
        </w:rPr>
        <w:t>Nowe technologie w służbie anestezjologii i intensywnej terapii: Sztuczna inteligencja w USG</w:t>
      </w:r>
    </w:p>
    <w:p w14:paraId="2506B0EF" w14:textId="7F525601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             </w:t>
      </w:r>
      <w:r w:rsidRPr="00626164">
        <w:rPr>
          <w:rFonts w:ascii="Cambria" w:hAnsi="Cambria"/>
          <w:sz w:val="20"/>
          <w:szCs w:val="20"/>
        </w:rPr>
        <w:t>Sławomir Mika, Górnośląska Szkoła Ultrasonografii</w:t>
      </w:r>
    </w:p>
    <w:p w14:paraId="03550A92" w14:textId="7679E79A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14:00- 14:10</w:t>
      </w:r>
      <w:r>
        <w:rPr>
          <w:rFonts w:ascii="Cambria" w:hAnsi="Cambria"/>
          <w:b/>
          <w:bCs/>
          <w:sz w:val="20"/>
          <w:szCs w:val="20"/>
        </w:rPr>
        <w:t xml:space="preserve"> </w:t>
      </w:r>
      <w:r w:rsidRPr="00626164">
        <w:rPr>
          <w:rFonts w:ascii="Cambria" w:hAnsi="Cambria"/>
          <w:sz w:val="20"/>
          <w:szCs w:val="20"/>
        </w:rPr>
        <w:t>Dyskusja</w:t>
      </w:r>
    </w:p>
    <w:p w14:paraId="71CFBA28" w14:textId="7545166A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14:10-14:20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Zakończenie konferencji</w:t>
      </w:r>
    </w:p>
    <w:p w14:paraId="3CFB3E69" w14:textId="39D4EB92" w:rsidR="00626164" w:rsidRPr="00626164" w:rsidRDefault="00626164" w:rsidP="00626164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14:20-15:20</w:t>
      </w:r>
      <w:r>
        <w:rPr>
          <w:rFonts w:ascii="Cambria" w:hAnsi="Cambria"/>
          <w:b/>
          <w:bCs/>
          <w:sz w:val="20"/>
          <w:szCs w:val="20"/>
        </w:rPr>
        <w:t xml:space="preserve">  </w:t>
      </w:r>
      <w:r w:rsidRPr="00626164">
        <w:rPr>
          <w:rFonts w:ascii="Cambria" w:hAnsi="Cambria"/>
          <w:sz w:val="20"/>
          <w:szCs w:val="20"/>
        </w:rPr>
        <w:t>OBIAD</w:t>
      </w:r>
    </w:p>
    <w:p w14:paraId="1C6FB08B" w14:textId="77777777" w:rsidR="006360E9" w:rsidRPr="00626164" w:rsidRDefault="006360E9" w:rsidP="00884D80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</w:p>
    <w:p w14:paraId="270E1E32" w14:textId="77777777" w:rsidR="006360E9" w:rsidRPr="00626164" w:rsidRDefault="006360E9" w:rsidP="006360E9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</w:p>
    <w:p w14:paraId="6B108853" w14:textId="21FD41FB" w:rsidR="006360E9" w:rsidRPr="00626164" w:rsidRDefault="006360E9" w:rsidP="006360E9">
      <w:pPr>
        <w:spacing w:line="240" w:lineRule="auto"/>
        <w:ind w:left="-567" w:right="-567"/>
        <w:jc w:val="center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PROGRAM  NIEMERYTORYCZNY</w:t>
      </w:r>
    </w:p>
    <w:p w14:paraId="744AB669" w14:textId="77777777" w:rsidR="006360E9" w:rsidRPr="00626164" w:rsidRDefault="006360E9" w:rsidP="006360E9">
      <w:pPr>
        <w:spacing w:line="240" w:lineRule="auto"/>
        <w:ind w:left="-567" w:right="-567"/>
        <w:rPr>
          <w:rFonts w:ascii="Cambria" w:hAnsi="Cambria"/>
          <w:i/>
          <w:iCs/>
          <w:sz w:val="20"/>
          <w:szCs w:val="20"/>
        </w:rPr>
      </w:pPr>
      <w:r w:rsidRPr="00626164">
        <w:rPr>
          <w:rFonts w:ascii="Cambria" w:hAnsi="Cambria"/>
          <w:i/>
          <w:iCs/>
          <w:sz w:val="20"/>
          <w:szCs w:val="20"/>
        </w:rPr>
        <w:t>Czwartek, 15.05.2025</w:t>
      </w:r>
    </w:p>
    <w:p w14:paraId="7144C776" w14:textId="77777777" w:rsidR="006360E9" w:rsidRPr="00626164" w:rsidRDefault="006360E9" w:rsidP="006360E9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19:30  Wydarzenie towarzyszące*</w:t>
      </w:r>
    </w:p>
    <w:p w14:paraId="76A4FAAA" w14:textId="77777777" w:rsidR="006360E9" w:rsidRPr="00626164" w:rsidRDefault="006360E9" w:rsidP="006360E9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</w:p>
    <w:p w14:paraId="32315541" w14:textId="77777777" w:rsidR="006360E9" w:rsidRPr="00626164" w:rsidRDefault="006360E9" w:rsidP="006360E9">
      <w:pPr>
        <w:spacing w:line="240" w:lineRule="auto"/>
        <w:ind w:left="-567" w:right="-567"/>
        <w:rPr>
          <w:rFonts w:ascii="Cambria" w:hAnsi="Cambria"/>
          <w:i/>
          <w:iCs/>
          <w:sz w:val="20"/>
          <w:szCs w:val="20"/>
        </w:rPr>
      </w:pPr>
      <w:r w:rsidRPr="00626164">
        <w:rPr>
          <w:rFonts w:ascii="Cambria" w:hAnsi="Cambria"/>
          <w:i/>
          <w:iCs/>
          <w:sz w:val="20"/>
          <w:szCs w:val="20"/>
        </w:rPr>
        <w:t>Piątek, 16.05.2025</w:t>
      </w:r>
    </w:p>
    <w:p w14:paraId="0845F957" w14:textId="0BD90052" w:rsidR="006360E9" w:rsidRPr="00626164" w:rsidRDefault="006360E9" w:rsidP="006360E9">
      <w:pPr>
        <w:spacing w:line="240" w:lineRule="auto"/>
        <w:ind w:left="-567" w:right="-567"/>
        <w:rPr>
          <w:rFonts w:ascii="Cambria" w:hAnsi="Cambria"/>
          <w:b/>
          <w:bCs/>
          <w:sz w:val="20"/>
          <w:szCs w:val="20"/>
        </w:rPr>
      </w:pPr>
      <w:r w:rsidRPr="00626164">
        <w:rPr>
          <w:rFonts w:ascii="Cambria" w:hAnsi="Cambria"/>
          <w:b/>
          <w:bCs/>
          <w:sz w:val="20"/>
          <w:szCs w:val="20"/>
        </w:rPr>
        <w:t>19:30  Wydarzenie towarzyszące*</w:t>
      </w:r>
    </w:p>
    <w:p w14:paraId="7F7B2A6F" w14:textId="77777777" w:rsidR="006360E9" w:rsidRPr="00626164" w:rsidRDefault="006360E9" w:rsidP="006360E9">
      <w:pPr>
        <w:spacing w:line="240" w:lineRule="auto"/>
        <w:ind w:left="-567" w:right="-567"/>
        <w:rPr>
          <w:rFonts w:ascii="Cambria" w:hAnsi="Cambria"/>
          <w:i/>
          <w:iCs/>
          <w:sz w:val="20"/>
          <w:szCs w:val="20"/>
        </w:rPr>
      </w:pPr>
      <w:r w:rsidRPr="00626164">
        <w:rPr>
          <w:rFonts w:ascii="Cambria" w:hAnsi="Cambria"/>
          <w:i/>
          <w:iCs/>
          <w:sz w:val="20"/>
          <w:szCs w:val="20"/>
        </w:rPr>
        <w:t>*Wydarzenia towarzyszące nie są finansowane ze środków firm innowacyjnych zrzeszonych w INFARMIE ani ze środków pochodzących od firm członkowskich Izby POLMED oraz MedTech Polska. Wydarzenia opłacane są z wpłat uczestników oraz środków własnych organizatora Med Space s.c.</w:t>
      </w:r>
    </w:p>
    <w:p w14:paraId="0CF68FFF" w14:textId="77777777" w:rsidR="006360E9" w:rsidRPr="00626164" w:rsidRDefault="006360E9" w:rsidP="00884D80">
      <w:pPr>
        <w:spacing w:line="240" w:lineRule="auto"/>
        <w:ind w:left="-567" w:right="-567"/>
        <w:rPr>
          <w:rFonts w:ascii="Cambria" w:hAnsi="Cambria"/>
          <w:sz w:val="20"/>
          <w:szCs w:val="20"/>
        </w:rPr>
      </w:pPr>
    </w:p>
    <w:sectPr w:rsidR="006360E9" w:rsidRPr="00626164" w:rsidSect="00626164">
      <w:headerReference w:type="default" r:id="rId7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88269" w14:textId="77777777" w:rsidR="006947CB" w:rsidRDefault="006947CB" w:rsidP="00884D80">
      <w:pPr>
        <w:spacing w:after="0" w:line="240" w:lineRule="auto"/>
      </w:pPr>
      <w:r>
        <w:separator/>
      </w:r>
    </w:p>
  </w:endnote>
  <w:endnote w:type="continuationSeparator" w:id="0">
    <w:p w14:paraId="25F3F2F1" w14:textId="77777777" w:rsidR="006947CB" w:rsidRDefault="006947CB" w:rsidP="00884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87556" w14:textId="77777777" w:rsidR="006947CB" w:rsidRDefault="006947CB" w:rsidP="00884D80">
      <w:pPr>
        <w:spacing w:after="0" w:line="240" w:lineRule="auto"/>
      </w:pPr>
      <w:r>
        <w:separator/>
      </w:r>
    </w:p>
  </w:footnote>
  <w:footnote w:type="continuationSeparator" w:id="0">
    <w:p w14:paraId="14F2B52C" w14:textId="77777777" w:rsidR="006947CB" w:rsidRDefault="006947CB" w:rsidP="00884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E7CD6" w14:textId="6E2623F8" w:rsidR="00884D80" w:rsidRDefault="00884D80" w:rsidP="00884D80">
    <w:pPr>
      <w:pStyle w:val="Nagwek"/>
      <w:ind w:hanging="1417"/>
    </w:pPr>
    <w:r>
      <w:rPr>
        <w:noProof/>
      </w:rPr>
      <w:drawing>
        <wp:inline distT="0" distB="0" distL="0" distR="0" wp14:anchorId="483EC6D9" wp14:editId="34297802">
          <wp:extent cx="7547212" cy="2291118"/>
          <wp:effectExtent l="0" t="0" r="0" b="0"/>
          <wp:docPr id="53092060" name="Obraz 1" descr="Obraz zawierający tekst, Jaskrawoniebieski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372894" name="Obraz 1" descr="Obraz zawierający tekst, Jaskrawoniebieski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185" cy="2300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80"/>
    <w:rsid w:val="000E4CB8"/>
    <w:rsid w:val="001B50B1"/>
    <w:rsid w:val="00484B87"/>
    <w:rsid w:val="00626164"/>
    <w:rsid w:val="00627B2B"/>
    <w:rsid w:val="006360E9"/>
    <w:rsid w:val="00644812"/>
    <w:rsid w:val="00675D14"/>
    <w:rsid w:val="006947CB"/>
    <w:rsid w:val="00696A6F"/>
    <w:rsid w:val="00884D80"/>
    <w:rsid w:val="008A2CDA"/>
    <w:rsid w:val="00A45254"/>
    <w:rsid w:val="00AC7F32"/>
    <w:rsid w:val="00AD2574"/>
    <w:rsid w:val="00AE30FC"/>
    <w:rsid w:val="00BB0B67"/>
    <w:rsid w:val="00BD01A2"/>
    <w:rsid w:val="00C87DAB"/>
    <w:rsid w:val="00D11C75"/>
    <w:rsid w:val="00D1331A"/>
    <w:rsid w:val="00D95A4B"/>
    <w:rsid w:val="00E85707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DFCB1"/>
  <w15:chartTrackingRefBased/>
  <w15:docId w15:val="{06A0FB17-99A5-491F-91B8-1972F7C7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84D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84D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84D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84D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84D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84D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84D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84D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84D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4D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4D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84D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84D8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84D8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84D8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84D8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84D8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84D8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84D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4D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4D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84D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84D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84D8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84D8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84D8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84D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84D8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84D80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84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4D80"/>
  </w:style>
  <w:style w:type="paragraph" w:styleId="Stopka">
    <w:name w:val="footer"/>
    <w:basedOn w:val="Normalny"/>
    <w:link w:val="StopkaZnak"/>
    <w:uiPriority w:val="99"/>
    <w:unhideWhenUsed/>
    <w:rsid w:val="00884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4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1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0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0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5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6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7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3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8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6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3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1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4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5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9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8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2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0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7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1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3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0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3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8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2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4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8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2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3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1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6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2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5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8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4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5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1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6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3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6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9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3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8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5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7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3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8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5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5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844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Kuźnicka</dc:creator>
  <cp:keywords/>
  <dc:description/>
  <cp:lastModifiedBy>Agnieszka Kuźnicka</cp:lastModifiedBy>
  <cp:revision>6</cp:revision>
  <dcterms:created xsi:type="dcterms:W3CDTF">2025-01-21T09:34:00Z</dcterms:created>
  <dcterms:modified xsi:type="dcterms:W3CDTF">2025-03-25T14:22:00Z</dcterms:modified>
</cp:coreProperties>
</file>