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B92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0A18C47E" w14:textId="77777777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color w:val="A02B93"/>
          <w:sz w:val="24"/>
          <w:szCs w:val="24"/>
          <w:lang w:eastAsia="pl-PL"/>
        </w:rPr>
        <w:t>Piątek, 09.10.2026 r.</w:t>
      </w:r>
    </w:p>
    <w:p w14:paraId="7336CEF1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8ADE419" w14:textId="77777777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15:55 – 16.00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>Rozpoczęcie konferencji, Powitanie uczestników</w:t>
      </w:r>
    </w:p>
    <w:p w14:paraId="62143FF6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DE6B901" w14:textId="11F77263" w:rsidR="00FC2CA7" w:rsidRDefault="00000000">
      <w:pPr>
        <w:pStyle w:val="Standard"/>
        <w:spacing w:after="0" w:line="240" w:lineRule="auto"/>
        <w:ind w:left="2124" w:hanging="2124"/>
      </w:pP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16:00 – 17:</w:t>
      </w:r>
      <w:r w:rsidR="00C352F5"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30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ab/>
      </w: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SESJA I: Rak płuca - Leczenie skojarzone w NDRP w 2026 roku: radioterapia i terapia systemowa w erze immunoterapii i terapii celowanych</w:t>
      </w:r>
    </w:p>
    <w:p w14:paraId="57541FC6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Prowadzący sesję: TBC</w:t>
      </w:r>
    </w:p>
    <w:p w14:paraId="5153C28D" w14:textId="77777777" w:rsidR="00FC2CA7" w:rsidRDefault="00FC2CA7">
      <w:pPr>
        <w:pStyle w:val="Standard"/>
        <w:spacing w:after="0" w:line="240" w:lineRule="auto"/>
        <w:ind w:left="2124" w:hanging="2124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155B69FA" w14:textId="0D1AA80E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16:00 – 16: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20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cs="Calibri"/>
          <w:b/>
          <w:bCs/>
          <w:sz w:val="24"/>
          <w:szCs w:val="24"/>
        </w:rPr>
        <w:t>Leczenie konsolidujące/podtrzymujące po radiochemioterapii niedrobnokomórkowego raka płuca</w:t>
      </w:r>
    </w:p>
    <w:p w14:paraId="6EFD4B9F" w14:textId="77777777" w:rsidR="00FC2CA7" w:rsidRDefault="00000000">
      <w:pPr>
        <w:pStyle w:val="Standard"/>
        <w:spacing w:after="0" w:line="240" w:lineRule="auto"/>
        <w:ind w:left="2124" w:hanging="212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TBC</w:t>
      </w:r>
    </w:p>
    <w:p w14:paraId="7FCC265B" w14:textId="2E9E9DBF" w:rsidR="00F56F56" w:rsidRDefault="00F56F56">
      <w:pPr>
        <w:pStyle w:val="Standard"/>
        <w:spacing w:after="0" w:line="240" w:lineRule="auto"/>
        <w:ind w:left="2124" w:hanging="212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Wykład sponsorowany</w:t>
      </w:r>
    </w:p>
    <w:p w14:paraId="064B0E9F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087CA6FB" w14:textId="5B0E3BFA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16: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20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– 16: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40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cs="Calibri"/>
          <w:b/>
          <w:bCs/>
          <w:color w:val="343434"/>
          <w:sz w:val="24"/>
          <w:szCs w:val="24"/>
        </w:rPr>
        <w:t>Radioterapia stereotaktyczna (SBRT) w I i II stopniu zaawansowania NSCLC - wyniki oraz kwalifikacja pacjentów w przypadku braku rozpoznania histopatologicznego</w:t>
      </w:r>
    </w:p>
    <w:p w14:paraId="311EAE05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cs="Calibri"/>
          <w:color w:val="343434"/>
          <w:sz w:val="24"/>
          <w:szCs w:val="24"/>
        </w:rPr>
        <w:tab/>
        <w:t>TBC</w:t>
      </w:r>
    </w:p>
    <w:p w14:paraId="0106D08F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7D7BB026" w14:textId="0D06D5DD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16: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40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– 1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7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00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cs="Calibri"/>
          <w:b/>
          <w:bCs/>
          <w:sz w:val="24"/>
          <w:szCs w:val="24"/>
        </w:rPr>
        <w:t>Leczenie konsolidujące/podtrzymujące po radiochemioterapii drobnokomórkowego raka płuca</w:t>
      </w:r>
    </w:p>
    <w:p w14:paraId="0D219679" w14:textId="77777777" w:rsidR="00FC2CA7" w:rsidRDefault="00000000">
      <w:pPr>
        <w:pStyle w:val="Standard"/>
        <w:spacing w:after="0" w:line="240" w:lineRule="auto"/>
        <w:ind w:left="2124" w:hanging="212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TBC</w:t>
      </w:r>
    </w:p>
    <w:p w14:paraId="5C9657ED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0EB8133D" w14:textId="2A66838E" w:rsidR="00FC2CA7" w:rsidRDefault="00C352F5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17:00 – 17:20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cs="Calibri"/>
          <w:b/>
          <w:bCs/>
          <w:color w:val="343434"/>
          <w:sz w:val="24"/>
          <w:szCs w:val="24"/>
        </w:rPr>
        <w:t>Przerzuty do mózgowia w SCLC: radioterapia stereotaktyczna vs. WBRT z/lub bez osłony hipokampów</w:t>
      </w:r>
    </w:p>
    <w:p w14:paraId="46C6D377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cs="Calibri"/>
          <w:color w:val="343434"/>
          <w:sz w:val="24"/>
          <w:szCs w:val="24"/>
        </w:rPr>
        <w:tab/>
        <w:t>TBC</w:t>
      </w:r>
    </w:p>
    <w:p w14:paraId="54AB60EF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DB28F75" w14:textId="11C1DDA7" w:rsidR="00FC2CA7" w:rsidRDefault="00000000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17: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20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– 17: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30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 xml:space="preserve">Dyskusja i podsumowanie sesji </w:t>
      </w:r>
    </w:p>
    <w:p w14:paraId="56366527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FD36759" w14:textId="02C71572" w:rsidR="00FC2CA7" w:rsidRDefault="00000000">
      <w:pPr>
        <w:pStyle w:val="Standard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17:</w:t>
      </w:r>
      <w:r w:rsidR="00C352F5">
        <w:rPr>
          <w:rFonts w:eastAsia="Times New Roman" w:cs="Calibri"/>
          <w:sz w:val="24"/>
          <w:szCs w:val="24"/>
          <w:lang w:eastAsia="pl-PL"/>
        </w:rPr>
        <w:t>35</w:t>
      </w:r>
      <w:r>
        <w:rPr>
          <w:rFonts w:eastAsia="Times New Roman" w:cs="Calibri"/>
          <w:sz w:val="24"/>
          <w:szCs w:val="24"/>
          <w:lang w:eastAsia="pl-PL"/>
        </w:rPr>
        <w:t xml:space="preserve"> – 17:</w:t>
      </w:r>
      <w:r w:rsidR="00C352F5">
        <w:rPr>
          <w:rFonts w:eastAsia="Times New Roman" w:cs="Calibri"/>
          <w:sz w:val="24"/>
          <w:szCs w:val="24"/>
          <w:lang w:eastAsia="pl-PL"/>
        </w:rPr>
        <w:t>45</w:t>
      </w:r>
      <w:r>
        <w:rPr>
          <w:rFonts w:eastAsia="Times New Roman" w:cs="Calibri"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ab/>
        <w:t>PRZERWA KAWOWA</w:t>
      </w:r>
    </w:p>
    <w:p w14:paraId="6C30CDE5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2757C11B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6C97E679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1A719C9B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color w:val="9584B3"/>
          <w:sz w:val="24"/>
          <w:szCs w:val="24"/>
          <w:lang w:eastAsia="pl-PL"/>
        </w:rPr>
      </w:pPr>
    </w:p>
    <w:p w14:paraId="4EB17AE0" w14:textId="77777777" w:rsidR="00324BFD" w:rsidRDefault="00324BFD">
      <w:pPr>
        <w:suppressAutoHyphens w:val="0"/>
        <w:rPr>
          <w:rFonts w:ascii="Poppins" w:hAnsi="Poppins" w:cs="Poppins"/>
          <w:b/>
          <w:bCs/>
          <w:caps/>
          <w:color w:val="421A1E"/>
          <w:shd w:val="clear" w:color="auto" w:fill="FFFFFF"/>
        </w:rPr>
      </w:pPr>
      <w:r>
        <w:rPr>
          <w:rFonts w:ascii="Poppins" w:hAnsi="Poppins" w:cs="Poppins"/>
          <w:b/>
          <w:bCs/>
          <w:caps/>
          <w:color w:val="421A1E"/>
          <w:shd w:val="clear" w:color="auto" w:fill="FFFFFF"/>
        </w:rPr>
        <w:br w:type="page"/>
      </w:r>
    </w:p>
    <w:p w14:paraId="1391A879" w14:textId="1A3DC4BE" w:rsidR="00FC2CA7" w:rsidRPr="00324BFD" w:rsidRDefault="00000000">
      <w:pPr>
        <w:pStyle w:val="Standard"/>
        <w:spacing w:after="0" w:line="240" w:lineRule="auto"/>
        <w:ind w:left="2124" w:hanging="2124"/>
        <w:rPr>
          <w:rFonts w:ascii="Poppins" w:hAnsi="Poppins" w:cs="Poppins"/>
          <w:b/>
          <w:bCs/>
          <w:caps/>
          <w:color w:val="421A1E"/>
          <w:shd w:val="clear" w:color="auto" w:fill="FFFFFF"/>
        </w:rPr>
      </w:pP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lastRenderedPageBreak/>
        <w:t>17:</w:t>
      </w:r>
      <w:r w:rsidR="00C352F5"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45</w:t>
      </w: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 xml:space="preserve"> – 1</w:t>
      </w:r>
      <w:r w:rsidR="00C352F5"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9:15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ab/>
      </w: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SESJA II: Rak piersi - Leczenie systemowe i radioterapia w raku piersi w 2026 roku: optymalna sekwencja czy leczenie równoległe?</w:t>
      </w:r>
    </w:p>
    <w:p w14:paraId="55F8EC58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Prowadzący sesję: TBC</w:t>
      </w:r>
    </w:p>
    <w:p w14:paraId="498FC343" w14:textId="77777777" w:rsidR="00FC2CA7" w:rsidRDefault="00FC2CA7">
      <w:pPr>
        <w:pStyle w:val="Standard"/>
        <w:spacing w:after="0" w:line="240" w:lineRule="auto"/>
        <w:ind w:left="2124" w:hanging="2124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2B42AC45" w14:textId="6E988BB9" w:rsidR="00FC2CA7" w:rsidRDefault="00000000">
      <w:pPr>
        <w:pStyle w:val="Standard"/>
        <w:spacing w:after="0" w:line="240" w:lineRule="auto"/>
        <w:ind w:left="2124" w:hanging="2124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17: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4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5 – 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18:05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  <w:t>Przyspieszone częściowe napromienianie piersi (APBI) – selekcja pacjentek oraz wybór metody radioterapii</w:t>
      </w:r>
    </w:p>
    <w:p w14:paraId="37D79F1F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000000"/>
          <w:sz w:val="24"/>
          <w:szCs w:val="24"/>
          <w:lang w:eastAsia="pl-PL"/>
        </w:rPr>
        <w:tab/>
        <w:t>TBC</w:t>
      </w:r>
    </w:p>
    <w:p w14:paraId="660029BF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2F4E7B26" w14:textId="1F6F4EDD" w:rsidR="00FC2CA7" w:rsidRDefault="00C352F5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18:05 – 18:25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Bezpieczeństwo terapii systemowej w trakcie radioterapii (CDK4/6i, leki antyHER2, PARPi)</w:t>
      </w:r>
    </w:p>
    <w:p w14:paraId="70D736D2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343434"/>
          <w:sz w:val="24"/>
          <w:szCs w:val="24"/>
          <w:lang w:eastAsia="pl-PL"/>
        </w:rPr>
        <w:tab/>
        <w:t>TBC</w:t>
      </w:r>
    </w:p>
    <w:p w14:paraId="0B5F0436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57315113" w14:textId="14708DC7" w:rsidR="00FC2CA7" w:rsidRDefault="00C352F5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18:25 – 18:45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Eskalacja dawki promieniowania w obrębie loży po guzie – radioterapia interwencyjna (brachyterapia) vs. SIB-EBRT</w:t>
      </w:r>
    </w:p>
    <w:p w14:paraId="1A002E5B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343434"/>
          <w:sz w:val="24"/>
          <w:szCs w:val="24"/>
          <w:lang w:eastAsia="pl-PL"/>
        </w:rPr>
        <w:tab/>
        <w:t>TBC</w:t>
      </w:r>
    </w:p>
    <w:p w14:paraId="13FF147B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3BC167BC" w14:textId="47B2EAF4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sz w:val="24"/>
          <w:szCs w:val="24"/>
          <w:lang w:eastAsia="pl-PL"/>
        </w:rPr>
        <w:t>18: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45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– 1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9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05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>Opcje leczenia systemowego po oligoprogresji i radioterapii w zakresie OUN HER2 dodatniego raka piersi</w:t>
      </w:r>
    </w:p>
    <w:p w14:paraId="05B561DB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cs="Calibri"/>
          <w:color w:val="343434"/>
          <w:sz w:val="24"/>
          <w:szCs w:val="24"/>
        </w:rPr>
        <w:tab/>
        <w:t>TBC</w:t>
      </w:r>
    </w:p>
    <w:p w14:paraId="1A77B7C6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DD1D6A8" w14:textId="09B537F4" w:rsidR="00FC2CA7" w:rsidRDefault="00000000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9:05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– 1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9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5 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 xml:space="preserve">Dyskusja i podsumowanie sesji </w:t>
      </w:r>
    </w:p>
    <w:p w14:paraId="7624DFEB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FAF21FE" w14:textId="77777777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20:00 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>Kolacja</w:t>
      </w:r>
    </w:p>
    <w:p w14:paraId="7CB81591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D20451A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1A07BFCE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3A96AE3" w14:textId="77777777" w:rsidR="00324BFD" w:rsidRDefault="00324BFD">
      <w:pPr>
        <w:suppressAutoHyphens w:val="0"/>
        <w:rPr>
          <w:rFonts w:eastAsia="Times New Roman" w:cs="Calibri"/>
          <w:b/>
          <w:bCs/>
          <w:color w:val="A02B93"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A02B93"/>
          <w:sz w:val="24"/>
          <w:szCs w:val="24"/>
          <w:lang w:eastAsia="pl-PL"/>
        </w:rPr>
        <w:br w:type="page"/>
      </w:r>
    </w:p>
    <w:p w14:paraId="3655EEA5" w14:textId="09C3B2A7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color w:val="A02B93"/>
          <w:sz w:val="24"/>
          <w:szCs w:val="24"/>
          <w:lang w:eastAsia="pl-PL"/>
        </w:rPr>
        <w:lastRenderedPageBreak/>
        <w:t>Sobota, 10.10.2026 r.</w:t>
      </w:r>
    </w:p>
    <w:p w14:paraId="19B0FB3F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5A3686B" w14:textId="7FFDAC7D" w:rsidR="00FC2CA7" w:rsidRDefault="00000000">
      <w:pPr>
        <w:pStyle w:val="Standard"/>
        <w:spacing w:after="0" w:line="240" w:lineRule="auto"/>
        <w:ind w:left="2124" w:hanging="2124"/>
        <w:rPr>
          <w:rFonts w:eastAsia="Times New Roman" w:cs="Calibri"/>
          <w:b/>
          <w:bCs/>
          <w:color w:val="9584B3"/>
          <w:sz w:val="24"/>
          <w:szCs w:val="24"/>
          <w:lang w:eastAsia="pl-PL"/>
        </w:rPr>
      </w:pP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09:00 – 10:</w:t>
      </w:r>
      <w:r w:rsidR="00C352F5"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30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ab/>
      </w: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SESJA III: Rak prostaty - połączenie radioterapii i leczenia systemowego w chorobie miejscowej i uogólnionej</w:t>
      </w:r>
    </w:p>
    <w:p w14:paraId="58E9A41D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Prowadzący sesję: TBC</w:t>
      </w:r>
    </w:p>
    <w:p w14:paraId="1649E52C" w14:textId="77777777" w:rsidR="00FC2CA7" w:rsidRDefault="00FC2CA7">
      <w:pPr>
        <w:pStyle w:val="Standard"/>
        <w:spacing w:after="0" w:line="240" w:lineRule="auto"/>
        <w:ind w:left="2124" w:hanging="2124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2BE98D65" w14:textId="68228DD9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09:00 – 09: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20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Radioterapia vs. prostatektomia w lokalnie zaawansowanym raku gruczołu krokowego - co mówi EBM w 2026 r.</w:t>
      </w:r>
    </w:p>
    <w:p w14:paraId="39E22F50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343434"/>
          <w:sz w:val="24"/>
          <w:szCs w:val="24"/>
          <w:lang w:eastAsia="pl-PL"/>
        </w:rPr>
        <w:tab/>
        <w:t>TBC</w:t>
      </w:r>
    </w:p>
    <w:p w14:paraId="353DDED0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2199A7BB" w14:textId="5FD2DD11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09: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20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– 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09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40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Leczenie systemowe uzupełniające po radioterapii radykalnej</w:t>
      </w:r>
    </w:p>
    <w:p w14:paraId="1EC4866E" w14:textId="77777777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color w:val="343434"/>
          <w:sz w:val="24"/>
          <w:szCs w:val="24"/>
          <w:lang w:eastAsia="pl-PL"/>
        </w:rPr>
        <w:tab/>
      </w:r>
      <w:r>
        <w:rPr>
          <w:rFonts w:eastAsia="Times New Roman" w:cs="Calibri"/>
          <w:color w:val="343434"/>
          <w:sz w:val="24"/>
          <w:szCs w:val="24"/>
          <w:lang w:eastAsia="pl-PL"/>
        </w:rPr>
        <w:tab/>
      </w:r>
      <w:r>
        <w:rPr>
          <w:rFonts w:eastAsia="Times New Roman" w:cs="Calibri"/>
          <w:color w:val="343434"/>
          <w:sz w:val="24"/>
          <w:szCs w:val="24"/>
          <w:lang w:eastAsia="pl-PL"/>
        </w:rPr>
        <w:tab/>
        <w:t>TBC</w:t>
      </w:r>
    </w:p>
    <w:p w14:paraId="7465E719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45FB2AE" w14:textId="697BED94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09: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4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0 – 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00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Metachroniczny oligonawrót raka gruczołu krokowego wg EORTC/ESTRO – wyniki radioterapii stereotaktycznej (SBRT) oraz SIB-EBRT z deeskalacją leczenia systemowego</w:t>
      </w:r>
    </w:p>
    <w:p w14:paraId="665675C8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000000"/>
          <w:sz w:val="24"/>
          <w:szCs w:val="24"/>
          <w:lang w:eastAsia="pl-PL"/>
        </w:rPr>
        <w:tab/>
        <w:t>TBC</w:t>
      </w:r>
    </w:p>
    <w:p w14:paraId="1DF158D1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4EE917A0" w14:textId="2E8D35C6" w:rsidR="00FC2CA7" w:rsidRDefault="00C352F5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>10:00 – 10:20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 xml:space="preserve">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Leczenie systemowe z wykorzystaniem radioligandów</w:t>
      </w:r>
    </w:p>
    <w:p w14:paraId="5F3C3CD3" w14:textId="77777777" w:rsidR="00FC2CA7" w:rsidRDefault="00000000">
      <w:pPr>
        <w:pStyle w:val="Standard"/>
        <w:spacing w:after="0" w:line="240" w:lineRule="auto"/>
      </w:pPr>
      <w:r>
        <w:rPr>
          <w:rFonts w:cs="Calibri"/>
          <w:color w:val="343434"/>
          <w:sz w:val="24"/>
          <w:szCs w:val="24"/>
        </w:rPr>
        <w:tab/>
      </w:r>
      <w:r>
        <w:rPr>
          <w:rFonts w:cs="Calibri"/>
          <w:color w:val="343434"/>
          <w:sz w:val="24"/>
          <w:szCs w:val="24"/>
        </w:rPr>
        <w:tab/>
      </w:r>
      <w:r>
        <w:rPr>
          <w:rFonts w:cs="Calibri"/>
          <w:color w:val="343434"/>
          <w:sz w:val="24"/>
          <w:szCs w:val="24"/>
        </w:rPr>
        <w:tab/>
        <w:t>TBC</w:t>
      </w:r>
    </w:p>
    <w:p w14:paraId="24F6537B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18ED4D95" w14:textId="260D659E" w:rsidR="00FC2CA7" w:rsidRDefault="00000000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10: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20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– 10: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>30</w:t>
      </w:r>
      <w:r w:rsidR="00C352F5"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 xml:space="preserve">Dyskusja i podsumowanie sesji </w:t>
      </w:r>
    </w:p>
    <w:p w14:paraId="62C613EF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63F7AA9D" w14:textId="6B38FBA6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sz w:val="24"/>
          <w:szCs w:val="24"/>
          <w:lang w:eastAsia="pl-PL"/>
        </w:rPr>
        <w:t>10:</w:t>
      </w:r>
      <w:r w:rsidR="00C352F5">
        <w:rPr>
          <w:rFonts w:eastAsia="Times New Roman" w:cs="Calibri"/>
          <w:sz w:val="24"/>
          <w:szCs w:val="24"/>
          <w:lang w:eastAsia="pl-PL"/>
        </w:rPr>
        <w:t>30</w:t>
      </w:r>
      <w:r>
        <w:rPr>
          <w:rFonts w:eastAsia="Times New Roman" w:cs="Calibri"/>
          <w:sz w:val="24"/>
          <w:szCs w:val="24"/>
          <w:lang w:eastAsia="pl-PL"/>
        </w:rPr>
        <w:t xml:space="preserve"> – 10:</w:t>
      </w:r>
      <w:r w:rsidR="00C352F5">
        <w:rPr>
          <w:rFonts w:eastAsia="Times New Roman" w:cs="Calibri"/>
          <w:sz w:val="24"/>
          <w:szCs w:val="24"/>
          <w:lang w:eastAsia="pl-PL"/>
        </w:rPr>
        <w:t>4</w:t>
      </w:r>
      <w:r>
        <w:rPr>
          <w:rFonts w:eastAsia="Times New Roman" w:cs="Calibri"/>
          <w:sz w:val="24"/>
          <w:szCs w:val="24"/>
          <w:lang w:eastAsia="pl-PL"/>
        </w:rPr>
        <w:t>5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PRZERWA KAWOWA</w:t>
      </w:r>
    </w:p>
    <w:p w14:paraId="2F592D5E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0B2E2AF2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05323772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76BB5B8" w14:textId="77777777" w:rsidR="00324BFD" w:rsidRDefault="00324BFD">
      <w:pPr>
        <w:suppressAutoHyphens w:val="0"/>
        <w:rPr>
          <w:rFonts w:ascii="Poppins" w:hAnsi="Poppins" w:cs="Poppins"/>
          <w:b/>
          <w:bCs/>
          <w:caps/>
          <w:color w:val="421A1E"/>
          <w:shd w:val="clear" w:color="auto" w:fill="FFFFFF"/>
        </w:rPr>
      </w:pPr>
      <w:r>
        <w:rPr>
          <w:rFonts w:ascii="Poppins" w:hAnsi="Poppins" w:cs="Poppins"/>
          <w:b/>
          <w:bCs/>
          <w:caps/>
          <w:color w:val="421A1E"/>
          <w:shd w:val="clear" w:color="auto" w:fill="FFFFFF"/>
        </w:rPr>
        <w:br w:type="page"/>
      </w:r>
    </w:p>
    <w:p w14:paraId="7285C65C" w14:textId="3EA051B7" w:rsidR="00FC2CA7" w:rsidRPr="00324BFD" w:rsidRDefault="00000000">
      <w:pPr>
        <w:pStyle w:val="Standard"/>
        <w:spacing w:after="0" w:line="240" w:lineRule="auto"/>
        <w:ind w:left="2124" w:hanging="2124"/>
        <w:rPr>
          <w:rFonts w:ascii="Poppins" w:hAnsi="Poppins" w:cs="Poppins"/>
          <w:b/>
          <w:bCs/>
          <w:caps/>
          <w:color w:val="421A1E"/>
          <w:shd w:val="clear" w:color="auto" w:fill="FFFFFF"/>
        </w:rPr>
      </w:pP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lastRenderedPageBreak/>
        <w:t>10:</w:t>
      </w:r>
      <w:r w:rsidR="00C352F5"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4</w:t>
      </w: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 xml:space="preserve">5 – </w:t>
      </w:r>
      <w:r w:rsidR="00C352F5"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12</w:t>
      </w: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:</w:t>
      </w:r>
      <w:r w:rsidR="00C352F5"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1</w:t>
      </w: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5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ab/>
      </w: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t>SESJA IV: Rak jelita grubego - Radioterapia i leczenie systemowe w raku jelita grubego: od klasycznej radiochemioterapii do immunoterapii neoadjuwantowej</w:t>
      </w:r>
    </w:p>
    <w:p w14:paraId="1117AF3C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Prowadzący sesję: TBC</w:t>
      </w:r>
    </w:p>
    <w:p w14:paraId="54AA555B" w14:textId="77777777" w:rsidR="00FC2CA7" w:rsidRDefault="00FC2CA7">
      <w:pPr>
        <w:pStyle w:val="Standard"/>
        <w:spacing w:after="0" w:line="240" w:lineRule="auto"/>
        <w:ind w:left="2124" w:hanging="2124"/>
        <w:rPr>
          <w:rFonts w:cs="Calibri"/>
          <w:sz w:val="24"/>
          <w:szCs w:val="24"/>
        </w:rPr>
      </w:pPr>
    </w:p>
    <w:p w14:paraId="2599659E" w14:textId="4CC54F02" w:rsidR="00FC2CA7" w:rsidRDefault="00000000">
      <w:pPr>
        <w:pStyle w:val="Standard"/>
        <w:spacing w:after="0" w:line="240" w:lineRule="auto"/>
        <w:ind w:left="2124" w:hanging="2124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10: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45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– 1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:</w:t>
      </w:r>
      <w:r w:rsidR="00C352F5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05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  <w:t>Total neoadjuvant therapy (TNT) w raku odbytnicy – integracja radioterapii i leczenia systemowego</w:t>
      </w:r>
    </w:p>
    <w:p w14:paraId="08DC24E9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000000"/>
          <w:sz w:val="24"/>
          <w:szCs w:val="24"/>
          <w:lang w:eastAsia="pl-PL"/>
        </w:rPr>
        <w:tab/>
        <w:t>TBC</w:t>
      </w:r>
    </w:p>
    <w:p w14:paraId="0080AF34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63CE05FA" w14:textId="2EBF8D6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</w:t>
      </w:r>
      <w:r w:rsidR="00324BF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1:05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– 1</w:t>
      </w:r>
      <w:r w:rsidR="00324BF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2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5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Teleradioterapia oraz brachyterapia – czy to doskonali partnerzy w terapii raka odbytnicy?</w:t>
      </w:r>
    </w:p>
    <w:p w14:paraId="71C8287A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343434"/>
          <w:sz w:val="24"/>
          <w:szCs w:val="24"/>
          <w:lang w:eastAsia="pl-PL"/>
        </w:rPr>
        <w:tab/>
        <w:t>TBC</w:t>
      </w:r>
    </w:p>
    <w:p w14:paraId="26C5C1C3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BA72FFB" w14:textId="278CE56C" w:rsidR="00FC2CA7" w:rsidRDefault="00324BFD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11:25 – 11:45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Czy immunoterapia zastąpi radiochemioterapię u chorych dMMR w raku odbytnicy?</w:t>
      </w:r>
    </w:p>
    <w:p w14:paraId="27E8775E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343434"/>
          <w:sz w:val="24"/>
          <w:szCs w:val="24"/>
          <w:lang w:eastAsia="pl-PL"/>
        </w:rPr>
        <w:tab/>
        <w:t>TBC</w:t>
      </w:r>
    </w:p>
    <w:p w14:paraId="1C381A0E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2F4C5AD0" w14:textId="37E5ACB3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sz w:val="24"/>
          <w:szCs w:val="24"/>
          <w:lang w:eastAsia="pl-PL"/>
        </w:rPr>
        <w:t>11: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45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– 1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2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0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5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 xml:space="preserve">Oligometastatyczny rak odbytnicy – wyniki i tolerancja terapii ukierunkowanej na przerzuty (MDT)– gdzie jesteśmy w 2026 r. ? </w:t>
      </w:r>
    </w:p>
    <w:p w14:paraId="1F449B3B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343434"/>
          <w:sz w:val="24"/>
          <w:szCs w:val="24"/>
          <w:lang w:eastAsia="pl-PL"/>
        </w:rPr>
        <w:tab/>
        <w:t>TBC</w:t>
      </w:r>
      <w:r>
        <w:rPr>
          <w:rFonts w:cs="Calibri"/>
          <w:sz w:val="24"/>
          <w:szCs w:val="24"/>
        </w:rPr>
        <w:t xml:space="preserve"> </w:t>
      </w:r>
    </w:p>
    <w:p w14:paraId="2603ECB8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F9D10DA" w14:textId="35936BBF" w:rsidR="00FC2CA7" w:rsidRDefault="00000000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2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0</w:t>
      </w:r>
      <w:r>
        <w:rPr>
          <w:rFonts w:eastAsia="Times New Roman" w:cs="Calibri"/>
          <w:b/>
          <w:bCs/>
          <w:sz w:val="24"/>
          <w:szCs w:val="24"/>
          <w:lang w:eastAsia="pl-PL"/>
        </w:rPr>
        <w:t>5 – 1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2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5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 xml:space="preserve">Dyskusja i podsumowanie sesji </w:t>
      </w:r>
    </w:p>
    <w:p w14:paraId="479C7C5F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595C280B" w14:textId="54D0CEC2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sz w:val="24"/>
          <w:szCs w:val="24"/>
          <w:lang w:eastAsia="pl-PL"/>
        </w:rPr>
        <w:t>1</w:t>
      </w:r>
      <w:r w:rsidR="00324BFD">
        <w:rPr>
          <w:rFonts w:eastAsia="Times New Roman" w:cs="Calibri"/>
          <w:sz w:val="24"/>
          <w:szCs w:val="24"/>
          <w:lang w:eastAsia="pl-PL"/>
        </w:rPr>
        <w:t>2</w:t>
      </w:r>
      <w:r>
        <w:rPr>
          <w:rFonts w:eastAsia="Times New Roman" w:cs="Calibri"/>
          <w:sz w:val="24"/>
          <w:szCs w:val="24"/>
          <w:lang w:eastAsia="pl-PL"/>
        </w:rPr>
        <w:t>:</w:t>
      </w:r>
      <w:r w:rsidR="00324BFD">
        <w:rPr>
          <w:rFonts w:eastAsia="Times New Roman" w:cs="Calibri"/>
          <w:sz w:val="24"/>
          <w:szCs w:val="24"/>
          <w:lang w:eastAsia="pl-PL"/>
        </w:rPr>
        <w:t>1</w:t>
      </w:r>
      <w:r>
        <w:rPr>
          <w:rFonts w:eastAsia="Times New Roman" w:cs="Calibri"/>
          <w:sz w:val="24"/>
          <w:szCs w:val="24"/>
          <w:lang w:eastAsia="pl-PL"/>
        </w:rPr>
        <w:t>5 – 1</w:t>
      </w:r>
      <w:r w:rsidR="00324BFD">
        <w:rPr>
          <w:rFonts w:eastAsia="Times New Roman" w:cs="Calibri"/>
          <w:sz w:val="24"/>
          <w:szCs w:val="24"/>
          <w:lang w:eastAsia="pl-PL"/>
        </w:rPr>
        <w:t>2</w:t>
      </w:r>
      <w:r>
        <w:rPr>
          <w:rFonts w:eastAsia="Times New Roman" w:cs="Calibri"/>
          <w:sz w:val="24"/>
          <w:szCs w:val="24"/>
          <w:lang w:eastAsia="pl-PL"/>
        </w:rPr>
        <w:t>:</w:t>
      </w:r>
      <w:r w:rsidR="00324BFD">
        <w:rPr>
          <w:rFonts w:eastAsia="Times New Roman" w:cs="Calibri"/>
          <w:sz w:val="24"/>
          <w:szCs w:val="24"/>
          <w:lang w:eastAsia="pl-PL"/>
        </w:rPr>
        <w:t>3</w:t>
      </w:r>
      <w:r>
        <w:rPr>
          <w:rFonts w:eastAsia="Times New Roman" w:cs="Calibri"/>
          <w:sz w:val="24"/>
          <w:szCs w:val="24"/>
          <w:lang w:eastAsia="pl-PL"/>
        </w:rPr>
        <w:t>0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PRZERWA KAWOWA</w:t>
      </w:r>
    </w:p>
    <w:p w14:paraId="3F791E8A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495673B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12A606C5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color w:val="9584B3"/>
          <w:sz w:val="24"/>
          <w:szCs w:val="24"/>
          <w:lang w:eastAsia="pl-PL"/>
        </w:rPr>
      </w:pPr>
    </w:p>
    <w:p w14:paraId="79C31EC1" w14:textId="77777777" w:rsidR="00324BFD" w:rsidRDefault="00324BFD">
      <w:pPr>
        <w:suppressAutoHyphens w:val="0"/>
        <w:rPr>
          <w:rFonts w:ascii="Poppins" w:hAnsi="Poppins" w:cs="Poppins"/>
          <w:b/>
          <w:bCs/>
          <w:caps/>
          <w:color w:val="421A1E"/>
          <w:shd w:val="clear" w:color="auto" w:fill="FFFFFF"/>
        </w:rPr>
      </w:pPr>
      <w:r>
        <w:rPr>
          <w:rFonts w:ascii="Poppins" w:hAnsi="Poppins" w:cs="Poppins"/>
          <w:b/>
          <w:bCs/>
          <w:caps/>
          <w:color w:val="421A1E"/>
          <w:shd w:val="clear" w:color="auto" w:fill="FFFFFF"/>
        </w:rPr>
        <w:br w:type="page"/>
      </w:r>
    </w:p>
    <w:p w14:paraId="065E8039" w14:textId="1616805B" w:rsidR="00FC2CA7" w:rsidRDefault="00324BFD">
      <w:pPr>
        <w:pStyle w:val="Standard"/>
        <w:spacing w:after="0" w:line="240" w:lineRule="auto"/>
        <w:rPr>
          <w:rFonts w:eastAsia="Times New Roman" w:cs="Calibri"/>
          <w:b/>
          <w:bCs/>
          <w:color w:val="9584B3"/>
          <w:sz w:val="24"/>
          <w:szCs w:val="24"/>
          <w:lang w:eastAsia="pl-PL"/>
        </w:rPr>
      </w:pPr>
      <w:r w:rsidRPr="00324BFD">
        <w:rPr>
          <w:rFonts w:ascii="Poppins" w:hAnsi="Poppins" w:cs="Poppins"/>
          <w:b/>
          <w:bCs/>
          <w:caps/>
          <w:color w:val="421A1E"/>
          <w:shd w:val="clear" w:color="auto" w:fill="FFFFFF"/>
        </w:rPr>
        <w:lastRenderedPageBreak/>
        <w:t>12:30 – 14:00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bCs/>
          <w:color w:val="9584B3"/>
          <w:sz w:val="24"/>
          <w:szCs w:val="24"/>
          <w:lang w:eastAsia="pl-PL"/>
        </w:rPr>
        <w:tab/>
      </w:r>
      <w:r>
        <w:rPr>
          <w:rFonts w:ascii="Poppins" w:hAnsi="Poppins" w:cs="Poppins"/>
          <w:b/>
          <w:bCs/>
          <w:caps/>
          <w:color w:val="421A1E"/>
          <w:shd w:val="clear" w:color="auto" w:fill="FFFFFF"/>
        </w:rPr>
        <w:t>SESJA V: Rak trzonu i szyjki macicy</w:t>
      </w:r>
    </w:p>
    <w:p w14:paraId="7269B736" w14:textId="77777777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sz w:val="24"/>
          <w:szCs w:val="24"/>
          <w:lang w:eastAsia="pl-PL"/>
        </w:rPr>
        <w:t>Prowadzący sesję: TBC</w:t>
      </w:r>
    </w:p>
    <w:p w14:paraId="5CA68EC6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7CC01B04" w14:textId="53800BAA" w:rsidR="00FC2CA7" w:rsidRDefault="00324BFD">
      <w:pPr>
        <w:pStyle w:val="Standard"/>
        <w:spacing w:after="0" w:line="240" w:lineRule="auto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12:30 – 12:50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Leczenie zachowawcze raka trzonu macicy – mity vs. rzeczywistość</w:t>
      </w:r>
    </w:p>
    <w:p w14:paraId="70D96787" w14:textId="77777777" w:rsidR="00FC2CA7" w:rsidRDefault="00000000">
      <w:pPr>
        <w:pStyle w:val="Standard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TBC</w:t>
      </w:r>
    </w:p>
    <w:p w14:paraId="5F65A8A4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5A038C7E" w14:textId="3E005811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12:</w:t>
      </w:r>
      <w:r w:rsidR="00324BF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50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 – 1</w:t>
      </w:r>
      <w:r w:rsidR="00324BF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3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1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0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Klasyfikacja molekularna raka trzonu macicy i jej implikacje kliniczne</w:t>
      </w:r>
    </w:p>
    <w:p w14:paraId="5531B3B6" w14:textId="77777777" w:rsidR="00FC2CA7" w:rsidRDefault="00000000">
      <w:pPr>
        <w:pStyle w:val="Standard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color w:val="000000"/>
          <w:sz w:val="24"/>
          <w:szCs w:val="24"/>
          <w:lang w:eastAsia="pl-PL"/>
        </w:rPr>
        <w:tab/>
        <w:t>TBC</w:t>
      </w:r>
    </w:p>
    <w:p w14:paraId="6EC82335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14:paraId="0EFB9D25" w14:textId="2C7E9757" w:rsidR="00FC2CA7" w:rsidRDefault="00324BFD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 xml:space="preserve">13:10 – 13:30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Brachyterapia adaptacyjna oparta na obrazowaniu (IGABT) u pacjentek z rakiem szyjki macicy – optymalizacja wyników terapeutycznych oraz tolerancji leczenia</w:t>
      </w:r>
    </w:p>
    <w:p w14:paraId="65C855B4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color w:val="343434"/>
          <w:sz w:val="24"/>
          <w:szCs w:val="24"/>
          <w:lang w:eastAsia="pl-PL"/>
        </w:rPr>
        <w:tab/>
        <w:t>TBC</w:t>
      </w:r>
    </w:p>
    <w:p w14:paraId="518CBC3F" w14:textId="77777777" w:rsidR="00FC2CA7" w:rsidRDefault="00FC2CA7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1F1E9F45" w14:textId="38D37FB7" w:rsidR="00FC2CA7" w:rsidRDefault="00000000">
      <w:pPr>
        <w:pStyle w:val="Standard"/>
        <w:spacing w:after="0" w:line="240" w:lineRule="auto"/>
        <w:ind w:left="2124" w:hanging="2124"/>
      </w:pPr>
      <w:r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3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30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– 1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3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5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0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color w:val="343434"/>
          <w:sz w:val="24"/>
          <w:szCs w:val="24"/>
          <w:lang w:eastAsia="pl-PL"/>
        </w:rPr>
        <w:t>Immunoterapia w połączeniu z radiochemioterapią w raku szyjki macicy</w:t>
      </w:r>
    </w:p>
    <w:p w14:paraId="74D0E07F" w14:textId="77777777" w:rsidR="00FC2CA7" w:rsidRDefault="00000000">
      <w:pPr>
        <w:pStyle w:val="Standard"/>
        <w:spacing w:after="0" w:line="240" w:lineRule="auto"/>
        <w:ind w:left="2124" w:hanging="2124"/>
      </w:pPr>
      <w:r>
        <w:rPr>
          <w:rFonts w:cs="Calibri"/>
          <w:color w:val="343434"/>
          <w:sz w:val="24"/>
          <w:szCs w:val="24"/>
        </w:rPr>
        <w:tab/>
        <w:t>TBC</w:t>
      </w:r>
    </w:p>
    <w:p w14:paraId="0C415E74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2D1346C" w14:textId="38B3A112" w:rsidR="00FC2CA7" w:rsidRDefault="00000000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3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5</w:t>
      </w:r>
      <w:r>
        <w:rPr>
          <w:rFonts w:eastAsia="Times New Roman" w:cs="Calibri"/>
          <w:b/>
          <w:bCs/>
          <w:sz w:val="24"/>
          <w:szCs w:val="24"/>
          <w:lang w:eastAsia="pl-PL"/>
        </w:rPr>
        <w:t>0 – 1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4</w:t>
      </w:r>
      <w:r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0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0 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>Dyskusja i podsumowanie sesji oraz zamknięcie spotkania</w:t>
      </w:r>
    </w:p>
    <w:p w14:paraId="6ED4FA7C" w14:textId="77777777" w:rsidR="00FC2CA7" w:rsidRDefault="00FC2CA7">
      <w:pPr>
        <w:pStyle w:val="Standard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B9A4C6C" w14:textId="6000C28E" w:rsidR="00FC2CA7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>1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4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:00  </w:t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</w:r>
      <w:r>
        <w:rPr>
          <w:rFonts w:eastAsia="Times New Roman" w:cs="Calibri"/>
          <w:b/>
          <w:bCs/>
          <w:sz w:val="24"/>
          <w:szCs w:val="24"/>
          <w:lang w:eastAsia="pl-PL"/>
        </w:rPr>
        <w:tab/>
        <w:t>O</w:t>
      </w:r>
      <w:r w:rsidR="00324BFD">
        <w:rPr>
          <w:rFonts w:eastAsia="Times New Roman" w:cs="Calibri"/>
          <w:b/>
          <w:bCs/>
          <w:sz w:val="24"/>
          <w:szCs w:val="24"/>
          <w:lang w:eastAsia="pl-PL"/>
        </w:rPr>
        <w:t>BIAD</w:t>
      </w:r>
    </w:p>
    <w:p w14:paraId="6972C24B" w14:textId="77777777" w:rsidR="00FC2CA7" w:rsidRDefault="00FC2CA7">
      <w:pPr>
        <w:pStyle w:val="Standard"/>
        <w:spacing w:after="0" w:line="240" w:lineRule="auto"/>
        <w:rPr>
          <w:rFonts w:cs="Calibri"/>
        </w:rPr>
      </w:pPr>
    </w:p>
    <w:sectPr w:rsidR="00FC2CA7">
      <w:headerReference w:type="default" r:id="rId6"/>
      <w:pgSz w:w="11906" w:h="16838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3CE1" w14:textId="77777777" w:rsidR="003263BA" w:rsidRDefault="003263BA">
      <w:pPr>
        <w:spacing w:after="0" w:line="240" w:lineRule="auto"/>
      </w:pPr>
      <w:r>
        <w:separator/>
      </w:r>
    </w:p>
  </w:endnote>
  <w:endnote w:type="continuationSeparator" w:id="0">
    <w:p w14:paraId="159FDD52" w14:textId="77777777" w:rsidR="003263BA" w:rsidRDefault="0032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7425" w14:textId="77777777" w:rsidR="003263BA" w:rsidRDefault="003263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2B5353" w14:textId="77777777" w:rsidR="003263BA" w:rsidRDefault="0032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6D80" w14:textId="77777777" w:rsidR="003C7347" w:rsidRDefault="00000000">
    <w:pPr>
      <w:pStyle w:val="Nagwek"/>
      <w:ind w:left="-1417"/>
    </w:pPr>
    <w:r>
      <w:rPr>
        <w:noProof/>
      </w:rPr>
      <w:drawing>
        <wp:inline distT="0" distB="0" distL="0" distR="0" wp14:anchorId="6849BAFE" wp14:editId="6F979E5A">
          <wp:extent cx="7649065" cy="2322036"/>
          <wp:effectExtent l="0" t="0" r="9035" b="2064"/>
          <wp:docPr id="140770110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9065" cy="23220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CA7"/>
    <w:rsid w:val="002D5227"/>
    <w:rsid w:val="00324BFD"/>
    <w:rsid w:val="003263BA"/>
    <w:rsid w:val="003B485F"/>
    <w:rsid w:val="003C7347"/>
    <w:rsid w:val="007E7415"/>
    <w:rsid w:val="00AC4024"/>
    <w:rsid w:val="00C352F5"/>
    <w:rsid w:val="00DA6F25"/>
    <w:rsid w:val="00F02889"/>
    <w:rsid w:val="00F56F56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70C0"/>
  <w15:docId w15:val="{B5B0B501-25A6-4912-B352-81BB9B33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character" w:styleId="Uwydatnienie">
    <w:name w:val="Emphasis"/>
    <w:basedOn w:val="Domylnaczcionkaakapitu"/>
    <w:rPr>
      <w:i/>
      <w:iCs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onkologia</dc:creator>
  <cp:lastModifiedBy>Agnieszka Kuźnicka</cp:lastModifiedBy>
  <cp:revision>6</cp:revision>
  <cp:lastPrinted>2023-04-19T10:43:00Z</cp:lastPrinted>
  <dcterms:created xsi:type="dcterms:W3CDTF">2026-05-19T08:31:00Z</dcterms:created>
  <dcterms:modified xsi:type="dcterms:W3CDTF">2026-06-03T06:43:00Z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